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56B" w:rsidRPr="0021256B" w:rsidRDefault="0021256B" w:rsidP="0021256B">
      <w:pPr>
        <w:pBdr>
          <w:bottom w:val="single" w:sz="4" w:space="1" w:color="auto"/>
        </w:pBdr>
        <w:rPr>
          <w:b/>
          <w:color w:val="ED7D31" w:themeColor="accent2"/>
          <w:sz w:val="28"/>
          <w:szCs w:val="28"/>
        </w:rPr>
      </w:pPr>
      <w:r w:rsidRPr="0021256B">
        <w:rPr>
          <w:b/>
          <w:color w:val="ED7D31" w:themeColor="accent2"/>
          <w:sz w:val="28"/>
          <w:szCs w:val="28"/>
        </w:rPr>
        <w:t xml:space="preserve">Tracking </w:t>
      </w:r>
      <w:r w:rsidR="00135A59">
        <w:rPr>
          <w:b/>
          <w:color w:val="ED7D31" w:themeColor="accent2"/>
          <w:sz w:val="28"/>
          <w:szCs w:val="28"/>
        </w:rPr>
        <w:t xml:space="preserve">Government </w:t>
      </w:r>
      <w:r w:rsidRPr="0021256B">
        <w:rPr>
          <w:b/>
          <w:color w:val="ED7D31" w:themeColor="accent2"/>
          <w:sz w:val="28"/>
          <w:szCs w:val="28"/>
        </w:rPr>
        <w:t xml:space="preserve">Investments </w:t>
      </w:r>
      <w:r w:rsidR="00D51C6B">
        <w:rPr>
          <w:b/>
          <w:color w:val="ED7D31" w:themeColor="accent2"/>
          <w:sz w:val="28"/>
          <w:szCs w:val="28"/>
        </w:rPr>
        <w:t>for</w:t>
      </w:r>
      <w:r w:rsidRPr="0021256B">
        <w:rPr>
          <w:b/>
          <w:color w:val="ED7D31" w:themeColor="accent2"/>
          <w:sz w:val="28"/>
          <w:szCs w:val="28"/>
        </w:rPr>
        <w:t xml:space="preserve"> Nutrition at Country Level</w:t>
      </w:r>
    </w:p>
    <w:p w:rsidR="0021256B" w:rsidRDefault="0021256B" w:rsidP="0021256B">
      <w:pPr>
        <w:pBdr>
          <w:bottom w:val="single" w:sz="4" w:space="1" w:color="auto"/>
        </w:pBdr>
      </w:pPr>
      <w:r>
        <w:t xml:space="preserve">Patrizia Fracassi, </w:t>
      </w:r>
      <w:r w:rsidR="0067286F">
        <w:t xml:space="preserve">Clara Picanyol, </w:t>
      </w:r>
      <w:r w:rsidR="00603E7F">
        <w:t>29</w:t>
      </w:r>
      <w:r w:rsidR="00603E7F" w:rsidRPr="00603E7F">
        <w:rPr>
          <w:vertAlign w:val="superscript"/>
        </w:rPr>
        <w:t>TH</w:t>
      </w:r>
      <w:r w:rsidR="00603E7F">
        <w:t xml:space="preserve"> January 2015</w:t>
      </w:r>
    </w:p>
    <w:p w:rsidR="00C73554" w:rsidRDefault="00C73554" w:rsidP="0021256B">
      <w:pPr>
        <w:pBdr>
          <w:bottom w:val="single" w:sz="4" w:space="1" w:color="auto"/>
        </w:pBdr>
      </w:pPr>
    </w:p>
    <w:p w:rsidR="00EB107C" w:rsidRDefault="000643B2"/>
    <w:p w:rsidR="002E3229" w:rsidRPr="003F3C10" w:rsidRDefault="002E3229" w:rsidP="002E3229">
      <w:pPr>
        <w:pStyle w:val="BodyText1"/>
        <w:numPr>
          <w:ilvl w:val="0"/>
          <w:numId w:val="1"/>
        </w:numPr>
        <w:rPr>
          <w:b/>
          <w:color w:val="ED7D31" w:themeColor="accent2"/>
          <w:sz w:val="24"/>
          <w:u w:val="single"/>
        </w:rPr>
      </w:pPr>
      <w:r w:rsidRPr="003F3C10">
        <w:rPr>
          <w:b/>
          <w:color w:val="ED7D31" w:themeColor="accent2"/>
          <w:sz w:val="24"/>
          <w:u w:val="single"/>
        </w:rPr>
        <w:t>Introduction</w:t>
      </w:r>
    </w:p>
    <w:p w:rsidR="002E3229" w:rsidRDefault="002E3229" w:rsidP="002E3229">
      <w:pPr>
        <w:pStyle w:val="BodyText1"/>
      </w:pPr>
      <w:r>
        <w:t xml:space="preserve">Having reliable data is essential to policy makers to prioritise, to plan, and to make decisions on resource allocation, as well as to monitor and evaluate policy implementation. Resource tracking is an important way of promoting transparency and can be used for advocacy purposes. </w:t>
      </w:r>
    </w:p>
    <w:p w:rsidR="002E3229" w:rsidRDefault="00CF0509" w:rsidP="002E3229">
      <w:pPr>
        <w:pStyle w:val="BodyText1"/>
      </w:pPr>
      <w:r>
        <w:t>A</w:t>
      </w:r>
      <w:r w:rsidR="002E3229">
        <w:t xml:space="preserve"> flexible framework can be helpful to provide </w:t>
      </w:r>
      <w:r>
        <w:t xml:space="preserve">a starting point and be used as </w:t>
      </w:r>
      <w:r w:rsidR="002E3229">
        <w:t xml:space="preserve">guidance </w:t>
      </w:r>
      <w:r>
        <w:t>by Governments planning to establish a financial tracking system for nutrition</w:t>
      </w:r>
      <w:r w:rsidR="002E3229">
        <w:t xml:space="preserve">. The framework should be adaptable to countries based on data and capacity available in each system. </w:t>
      </w:r>
    </w:p>
    <w:p w:rsidR="002E3229" w:rsidRDefault="002E3229" w:rsidP="002E3229">
      <w:pPr>
        <w:pStyle w:val="BodyText1"/>
      </w:pPr>
      <w:r>
        <w:t xml:space="preserve">The purpose of this note is to discuss an approach on how financial resources on nutrition </w:t>
      </w:r>
      <w:r w:rsidR="00CF0509">
        <w:t xml:space="preserve">can be tracked </w:t>
      </w:r>
      <w:r>
        <w:t xml:space="preserve">using on-line published national budgets as the data source. </w:t>
      </w:r>
      <w:r w:rsidR="00CF0509">
        <w:t xml:space="preserve">The main aim </w:t>
      </w:r>
      <w:r w:rsidR="00C73554">
        <w:t>is</w:t>
      </w:r>
      <w:r w:rsidR="00CF0509">
        <w:t xml:space="preserve"> to </w:t>
      </w:r>
      <w:r>
        <w:t xml:space="preserve">get an </w:t>
      </w:r>
      <w:r w:rsidRPr="00C73554">
        <w:rPr>
          <w:b/>
        </w:rPr>
        <w:t xml:space="preserve">historical trend of budget allocations </w:t>
      </w:r>
      <w:r w:rsidR="00CF0509" w:rsidRPr="00C73554">
        <w:rPr>
          <w:b/>
        </w:rPr>
        <w:t xml:space="preserve">for nutrition </w:t>
      </w:r>
      <w:r w:rsidR="002E0F96" w:rsidRPr="00C73554">
        <w:rPr>
          <w:b/>
        </w:rPr>
        <w:t xml:space="preserve">within a </w:t>
      </w:r>
      <w:r w:rsidRPr="00C73554">
        <w:rPr>
          <w:b/>
        </w:rPr>
        <w:t>country</w:t>
      </w:r>
      <w:r>
        <w:t xml:space="preserve">. </w:t>
      </w:r>
    </w:p>
    <w:p w:rsidR="00CF0509" w:rsidRPr="003F3C10" w:rsidRDefault="003F3C10" w:rsidP="00CF0509">
      <w:pPr>
        <w:pStyle w:val="BodyText1"/>
        <w:numPr>
          <w:ilvl w:val="0"/>
          <w:numId w:val="1"/>
        </w:numPr>
        <w:rPr>
          <w:b/>
          <w:color w:val="ED7D31" w:themeColor="accent2"/>
          <w:u w:val="single"/>
        </w:rPr>
      </w:pPr>
      <w:r>
        <w:rPr>
          <w:b/>
          <w:color w:val="ED7D31" w:themeColor="accent2"/>
          <w:u w:val="single"/>
        </w:rPr>
        <w:t>Data source</w:t>
      </w:r>
    </w:p>
    <w:p w:rsidR="007C045C" w:rsidRDefault="007C045C" w:rsidP="007C045C">
      <w:pPr>
        <w:pStyle w:val="BodyText1"/>
      </w:pPr>
      <w:r>
        <w:t xml:space="preserve">The </w:t>
      </w:r>
      <w:r w:rsidRPr="007C045C">
        <w:rPr>
          <w:b/>
        </w:rPr>
        <w:t>nat</w:t>
      </w:r>
      <w:r w:rsidRPr="00362AC3">
        <w:rPr>
          <w:b/>
        </w:rPr>
        <w:t>ional budget</w:t>
      </w:r>
      <w:r>
        <w:t xml:space="preserve"> is the Government’s main economic policy document, indicating how the Government plans to use public resources to meet policy goals. </w:t>
      </w:r>
    </w:p>
    <w:p w:rsidR="00B44DDC" w:rsidRDefault="00C913D5" w:rsidP="00C913D5">
      <w:pPr>
        <w:pStyle w:val="BodyText1"/>
      </w:pPr>
      <w:r>
        <w:t>In June 2014, a</w:t>
      </w:r>
      <w:r w:rsidR="007C045C">
        <w:t xml:space="preserve"> team of two consultants conducted a three-week desk-review to search for </w:t>
      </w:r>
      <w:r>
        <w:t xml:space="preserve">publicly available </w:t>
      </w:r>
      <w:r w:rsidR="007C045C">
        <w:t>national budget</w:t>
      </w:r>
      <w:r>
        <w:t>s</w:t>
      </w:r>
      <w:r w:rsidR="007C045C">
        <w:t xml:space="preserve"> in the Ministry of Finance website or the Treasury of the relevant government. The</w:t>
      </w:r>
      <w:r w:rsidR="00B44DDC">
        <w:t xml:space="preserve">y </w:t>
      </w:r>
      <w:r w:rsidR="007C045C">
        <w:t>review</w:t>
      </w:r>
      <w:r w:rsidR="00B44DDC">
        <w:t>ed</w:t>
      </w:r>
      <w:r w:rsidR="007C045C">
        <w:t xml:space="preserve"> 28 national budgets out of 51 countries (55%).</w:t>
      </w:r>
      <w:r>
        <w:t xml:space="preserve"> </w:t>
      </w:r>
    </w:p>
    <w:p w:rsidR="007D1000" w:rsidRPr="007D1000" w:rsidRDefault="00C913D5" w:rsidP="00B44DDC">
      <w:pPr>
        <w:pStyle w:val="BodyText1"/>
        <w:rPr>
          <w:b/>
        </w:rPr>
      </w:pPr>
      <w:r>
        <w:t xml:space="preserve">They found </w:t>
      </w:r>
      <w:r w:rsidR="00B44DDC">
        <w:t>a</w:t>
      </w:r>
      <w:r w:rsidR="007C045C">
        <w:t xml:space="preserve"> </w:t>
      </w:r>
      <w:r w:rsidR="007C045C" w:rsidRPr="007D1000">
        <w:rPr>
          <w:b/>
        </w:rPr>
        <w:t>nutrition</w:t>
      </w:r>
      <w:r w:rsidR="007C045C">
        <w:t xml:space="preserve"> </w:t>
      </w:r>
      <w:r w:rsidR="007C045C" w:rsidRPr="007D1000">
        <w:rPr>
          <w:b/>
        </w:rPr>
        <w:t>department</w:t>
      </w:r>
      <w:r w:rsidR="007C045C">
        <w:t xml:space="preserve"> </w:t>
      </w:r>
      <w:r w:rsidR="007C045C" w:rsidRPr="007D1000">
        <w:rPr>
          <w:b/>
        </w:rPr>
        <w:t xml:space="preserve">or </w:t>
      </w:r>
      <w:r w:rsidR="00C73554" w:rsidRPr="007D1000">
        <w:rPr>
          <w:b/>
        </w:rPr>
        <w:t xml:space="preserve">equivalent </w:t>
      </w:r>
      <w:r w:rsidR="00B44DDC">
        <w:t>only</w:t>
      </w:r>
      <w:r w:rsidR="007C045C">
        <w:t xml:space="preserve"> in six countries</w:t>
      </w:r>
      <w:r w:rsidR="00B44DDC">
        <w:t xml:space="preserve">. </w:t>
      </w:r>
      <w:r w:rsidR="007D1000">
        <w:t xml:space="preserve">A </w:t>
      </w:r>
      <w:r w:rsidR="007D1000">
        <w:rPr>
          <w:b/>
        </w:rPr>
        <w:t xml:space="preserve">programme level </w:t>
      </w:r>
      <w:r w:rsidR="00EC2647" w:rsidRPr="00B44DDC">
        <w:rPr>
          <w:b/>
        </w:rPr>
        <w:t>description</w:t>
      </w:r>
      <w:r w:rsidR="00EC2647">
        <w:t xml:space="preserve"> was available only for 21 national budgets</w:t>
      </w:r>
      <w:r w:rsidR="00B44DDC">
        <w:t xml:space="preserve"> but only ten had a programme that included ‘nutrition’ in the title.</w:t>
      </w:r>
      <w:r w:rsidR="00EC2647">
        <w:rPr>
          <w:rStyle w:val="FootnoteReference"/>
        </w:rPr>
        <w:footnoteReference w:id="1"/>
      </w:r>
    </w:p>
    <w:p w:rsidR="00CF0509" w:rsidRPr="003F3C10" w:rsidRDefault="00CF0509" w:rsidP="00CF0509">
      <w:pPr>
        <w:pStyle w:val="BodyText1"/>
        <w:numPr>
          <w:ilvl w:val="0"/>
          <w:numId w:val="1"/>
        </w:numPr>
        <w:rPr>
          <w:b/>
          <w:color w:val="ED7D31" w:themeColor="accent2"/>
          <w:u w:val="single"/>
        </w:rPr>
      </w:pPr>
      <w:r w:rsidRPr="003F3C10">
        <w:rPr>
          <w:b/>
          <w:color w:val="ED7D31" w:themeColor="accent2"/>
          <w:u w:val="single"/>
        </w:rPr>
        <w:t xml:space="preserve">Data users </w:t>
      </w:r>
    </w:p>
    <w:p w:rsidR="00D0269F" w:rsidRDefault="00026592" w:rsidP="00C73554">
      <w:pPr>
        <w:pStyle w:val="BodyText1"/>
      </w:pPr>
      <w:r>
        <w:t>Until March</w:t>
      </w:r>
      <w:r w:rsidR="00B44DDC">
        <w:t xml:space="preserve"> 2015, a</w:t>
      </w:r>
      <w:r w:rsidR="00D0269F">
        <w:t xml:space="preserve"> team of data experts from the Global Nutrition Report and the Institute of Development will help countries with populating the </w:t>
      </w:r>
      <w:r w:rsidR="00D0269F" w:rsidRPr="00D0269F">
        <w:rPr>
          <w:color w:val="4472C4" w:themeColor="accent5"/>
        </w:rPr>
        <w:t>Excel Table</w:t>
      </w:r>
      <w:r w:rsidR="00D0269F">
        <w:t xml:space="preserve"> (Step 1). </w:t>
      </w:r>
      <w:r>
        <w:t>To</w:t>
      </w:r>
      <w:r w:rsidR="00B44DDC">
        <w:t xml:space="preserve"> be able to </w:t>
      </w:r>
      <w:r w:rsidR="00D0269F">
        <w:t xml:space="preserve">provide remote support, they will need to receive the electronic national budgets (or </w:t>
      </w:r>
      <w:r w:rsidR="00B44DDC">
        <w:t>equivalent official documents</w:t>
      </w:r>
      <w:r w:rsidR="00D0269F">
        <w:t>) and the key-words to do the search</w:t>
      </w:r>
      <w:r w:rsidR="00B44DDC">
        <w:t xml:space="preserve"> (Annex 1)</w:t>
      </w:r>
      <w:r w:rsidR="00D0269F">
        <w:t xml:space="preserve">. </w:t>
      </w:r>
    </w:p>
    <w:p w:rsidR="00A73F2C" w:rsidRDefault="00D0269F" w:rsidP="00C73554">
      <w:pPr>
        <w:pStyle w:val="BodyText1"/>
      </w:pPr>
      <w:r>
        <w:t xml:space="preserve">For the replicability of the exercise, countries should identify </w:t>
      </w:r>
      <w:r w:rsidRPr="00D0269F">
        <w:rPr>
          <w:b/>
        </w:rPr>
        <w:t>one or two</w:t>
      </w:r>
      <w:r>
        <w:t xml:space="preserve"> </w:t>
      </w:r>
      <w:r w:rsidRPr="00D0269F">
        <w:rPr>
          <w:b/>
        </w:rPr>
        <w:t>national</w:t>
      </w:r>
      <w:r>
        <w:t xml:space="preserve"> </w:t>
      </w:r>
      <w:r w:rsidR="00C73554" w:rsidRPr="005C6C0A">
        <w:rPr>
          <w:b/>
        </w:rPr>
        <w:t>person</w:t>
      </w:r>
      <w:r w:rsidR="00C73554">
        <w:t xml:space="preserve"> </w:t>
      </w:r>
      <w:r w:rsidR="00C73554" w:rsidRPr="00A73F2C">
        <w:rPr>
          <w:b/>
        </w:rPr>
        <w:t xml:space="preserve">to </w:t>
      </w:r>
      <w:r w:rsidR="00B44DDC">
        <w:rPr>
          <w:b/>
        </w:rPr>
        <w:t>support with the data gathering</w:t>
      </w:r>
      <w:r w:rsidR="00C73554">
        <w:t xml:space="preserve">. </w:t>
      </w:r>
      <w:r w:rsidR="00B44DDC">
        <w:t>People</w:t>
      </w:r>
      <w:r w:rsidR="005C6C0A">
        <w:t xml:space="preserve"> engaged </w:t>
      </w:r>
      <w:r w:rsidR="00A13D6F">
        <w:t xml:space="preserve">in this exercise </w:t>
      </w:r>
      <w:r w:rsidR="005C6C0A">
        <w:t xml:space="preserve">should be familiar with the national budget and public finance system of the country. </w:t>
      </w:r>
      <w:r w:rsidR="00B44DDC">
        <w:t xml:space="preserve">Ideal people </w:t>
      </w:r>
      <w:r w:rsidR="00443D78">
        <w:t>could</w:t>
      </w:r>
      <w:r w:rsidR="00A13D6F">
        <w:t xml:space="preserve"> be from the Ministry of Finance or from a </w:t>
      </w:r>
      <w:r w:rsidR="00B44DDC">
        <w:t>Planning U</w:t>
      </w:r>
      <w:r w:rsidR="00A13D6F">
        <w:t xml:space="preserve">nit within the Government. </w:t>
      </w:r>
    </w:p>
    <w:p w:rsidR="00D0269F" w:rsidRDefault="00D0269F" w:rsidP="00D0269F">
      <w:pPr>
        <w:pStyle w:val="BodyText1"/>
      </w:pPr>
      <w:r>
        <w:t xml:space="preserve">Completing Step 1 will depend on the budget structure and level of details. </w:t>
      </w:r>
      <w:r w:rsidR="005C6C0A">
        <w:t xml:space="preserve">Once the </w:t>
      </w:r>
      <w:r>
        <w:rPr>
          <w:color w:val="4472C4" w:themeColor="accent5"/>
        </w:rPr>
        <w:t xml:space="preserve">Excel Table </w:t>
      </w:r>
      <w:r>
        <w:t xml:space="preserve">is </w:t>
      </w:r>
      <w:r w:rsidR="00B44DDC">
        <w:t>populated</w:t>
      </w:r>
      <w:r>
        <w:t xml:space="preserve">, </w:t>
      </w:r>
      <w:r w:rsidR="00B44DDC">
        <w:t>the document</w:t>
      </w:r>
      <w:r w:rsidR="0067286F">
        <w:t xml:space="preserve"> </w:t>
      </w:r>
      <w:r w:rsidR="00A13D6F">
        <w:t xml:space="preserve">will need to be </w:t>
      </w:r>
      <w:r w:rsidR="00B44DDC">
        <w:t xml:space="preserve">reviewed by sector </w:t>
      </w:r>
      <w:r w:rsidR="00A13D6F">
        <w:t>representatives</w:t>
      </w:r>
      <w:r w:rsidR="00443D78">
        <w:t xml:space="preserve">, who </w:t>
      </w:r>
      <w:r w:rsidR="00A13D6F">
        <w:t xml:space="preserve">are familiar with the programmes that have been included (or excluded) from the </w:t>
      </w:r>
      <w:r w:rsidR="00443D78">
        <w:t xml:space="preserve">data-gathering </w:t>
      </w:r>
      <w:r w:rsidR="00A13D6F">
        <w:t xml:space="preserve">exercise. </w:t>
      </w:r>
      <w:r w:rsidR="004A79F4">
        <w:br/>
      </w:r>
      <w:r w:rsidR="00A13D6F">
        <w:t xml:space="preserve"> </w:t>
      </w:r>
    </w:p>
    <w:p w:rsidR="00126277" w:rsidRPr="00D0269F" w:rsidRDefault="001732BD" w:rsidP="00D0269F">
      <w:pPr>
        <w:pStyle w:val="BodyText1"/>
        <w:numPr>
          <w:ilvl w:val="0"/>
          <w:numId w:val="1"/>
        </w:numPr>
        <w:rPr>
          <w:b/>
          <w:color w:val="ED7D31" w:themeColor="accent2"/>
          <w:szCs w:val="22"/>
        </w:rPr>
      </w:pPr>
      <w:r>
        <w:rPr>
          <w:b/>
          <w:color w:val="ED7D31" w:themeColor="accent2"/>
          <w:szCs w:val="22"/>
        </w:rPr>
        <w:lastRenderedPageBreak/>
        <w:t xml:space="preserve">Three-step approach </w:t>
      </w:r>
      <w:r w:rsidR="00126277" w:rsidRPr="00D0269F">
        <w:rPr>
          <w:b/>
          <w:color w:val="ED7D31" w:themeColor="accent2"/>
          <w:szCs w:val="22"/>
        </w:rPr>
        <w:t xml:space="preserve">to track </w:t>
      </w:r>
      <w:r w:rsidR="00135A59" w:rsidRPr="00D0269F">
        <w:rPr>
          <w:b/>
          <w:color w:val="ED7D31" w:themeColor="accent2"/>
          <w:szCs w:val="22"/>
        </w:rPr>
        <w:t xml:space="preserve">Government </w:t>
      </w:r>
      <w:r w:rsidR="00126277" w:rsidRPr="00D0269F">
        <w:rPr>
          <w:b/>
          <w:color w:val="ED7D31" w:themeColor="accent2"/>
          <w:szCs w:val="22"/>
        </w:rPr>
        <w:t xml:space="preserve">resources </w:t>
      </w:r>
      <w:r w:rsidR="00272BBC" w:rsidRPr="00D0269F">
        <w:rPr>
          <w:b/>
          <w:color w:val="ED7D31" w:themeColor="accent2"/>
          <w:szCs w:val="22"/>
        </w:rPr>
        <w:t>for</w:t>
      </w:r>
      <w:r w:rsidR="00126277" w:rsidRPr="00D0269F">
        <w:rPr>
          <w:b/>
          <w:color w:val="ED7D31" w:themeColor="accent2"/>
          <w:szCs w:val="22"/>
        </w:rPr>
        <w:t xml:space="preserve"> nutrition </w:t>
      </w:r>
    </w:p>
    <w:p w:rsidR="003F3C10" w:rsidRDefault="003F3C10" w:rsidP="003F3C10">
      <w:pPr>
        <w:pStyle w:val="BodyText1"/>
        <w:spacing w:after="0" w:line="276" w:lineRule="auto"/>
        <w:rPr>
          <w:rFonts w:cs="Arial"/>
        </w:rPr>
      </w:pPr>
      <w:r w:rsidRPr="003F3C10">
        <w:rPr>
          <w:rFonts w:cs="Arial"/>
        </w:rPr>
        <w:t xml:space="preserve">The review of the 28 published national budgets shows that in the best case scenario, the public information available on domestic resources </w:t>
      </w:r>
      <w:r w:rsidR="00272BBC">
        <w:rPr>
          <w:rFonts w:cs="Arial"/>
        </w:rPr>
        <w:t>for</w:t>
      </w:r>
      <w:r w:rsidRPr="003F3C10">
        <w:rPr>
          <w:rFonts w:cs="Arial"/>
        </w:rPr>
        <w:t xml:space="preserve"> nutrition is limited to: 1) a </w:t>
      </w:r>
      <w:r w:rsidRPr="003F3C10">
        <w:rPr>
          <w:rFonts w:cs="Arial"/>
          <w:b/>
        </w:rPr>
        <w:t>programme name</w:t>
      </w:r>
      <w:r w:rsidRPr="003F3C10">
        <w:rPr>
          <w:rFonts w:cs="Arial"/>
        </w:rPr>
        <w:t xml:space="preserve">, 2) a brief generic </w:t>
      </w:r>
      <w:r w:rsidRPr="003F3C10">
        <w:rPr>
          <w:rFonts w:cs="Arial"/>
          <w:b/>
        </w:rPr>
        <w:t>programme description</w:t>
      </w:r>
      <w:r w:rsidRPr="003F3C10">
        <w:rPr>
          <w:rFonts w:cs="Arial"/>
        </w:rPr>
        <w:t xml:space="preserve">, 3) an </w:t>
      </w:r>
      <w:r w:rsidRPr="003F3C10">
        <w:rPr>
          <w:rFonts w:cs="Arial"/>
          <w:b/>
        </w:rPr>
        <w:t>‘oversight’ agency</w:t>
      </w:r>
      <w:r w:rsidRPr="003F3C10">
        <w:rPr>
          <w:rFonts w:cs="Arial"/>
        </w:rPr>
        <w:t xml:space="preserve"> (or the agency with the authority to incur expenditures for the programme) and; 4) a </w:t>
      </w:r>
      <w:r w:rsidRPr="003F3C10">
        <w:rPr>
          <w:rFonts w:cs="Arial"/>
          <w:b/>
        </w:rPr>
        <w:t>total amount</w:t>
      </w:r>
      <w:r w:rsidRPr="003F3C10">
        <w:rPr>
          <w:rFonts w:cs="Arial"/>
        </w:rPr>
        <w:t xml:space="preserve"> allocated to the programme. Only in very few cases, it might be possible to have a breakdown of the programme by activities and by funding source.</w:t>
      </w:r>
    </w:p>
    <w:p w:rsidR="003F3C10" w:rsidRPr="003F3C10" w:rsidRDefault="003F3C10" w:rsidP="003F3C10">
      <w:pPr>
        <w:pStyle w:val="BodyText1"/>
        <w:spacing w:after="0" w:line="276" w:lineRule="auto"/>
        <w:rPr>
          <w:rFonts w:cs="Arial"/>
        </w:rPr>
      </w:pPr>
    </w:p>
    <w:p w:rsidR="003F3C10" w:rsidRDefault="00126277" w:rsidP="00126277">
      <w:pPr>
        <w:pStyle w:val="BodyText1"/>
        <w:spacing w:after="0" w:line="276" w:lineRule="auto"/>
        <w:rPr>
          <w:rFonts w:cs="Arial"/>
        </w:rPr>
      </w:pPr>
      <w:r w:rsidRPr="00126277">
        <w:rPr>
          <w:rFonts w:cs="Arial"/>
        </w:rPr>
        <w:t>Based on th</w:t>
      </w:r>
      <w:r w:rsidR="00272BBC">
        <w:rPr>
          <w:rFonts w:cs="Arial"/>
        </w:rPr>
        <w:t>is</w:t>
      </w:r>
      <w:r w:rsidRPr="00126277">
        <w:rPr>
          <w:rFonts w:cs="Arial"/>
        </w:rPr>
        <w:t xml:space="preserve"> review, a three-step methodology is </w:t>
      </w:r>
      <w:r w:rsidR="00D0269F">
        <w:rPr>
          <w:rFonts w:cs="Arial"/>
        </w:rPr>
        <w:t>proposed</w:t>
      </w:r>
      <w:r w:rsidR="00272BBC">
        <w:rPr>
          <w:rFonts w:cs="Arial"/>
        </w:rPr>
        <w:t xml:space="preserve"> </w:t>
      </w:r>
      <w:r w:rsidRPr="00126277">
        <w:rPr>
          <w:rFonts w:cs="Arial"/>
        </w:rPr>
        <w:t>as the most acceptable and feasible way for countries to track historical trends on budget allocations</w:t>
      </w:r>
      <w:r w:rsidR="00D0269F">
        <w:rPr>
          <w:rFonts w:cs="Arial"/>
        </w:rPr>
        <w:t xml:space="preserve">. To ensure transparency and replicability, </w:t>
      </w:r>
      <w:r w:rsidRPr="00126277">
        <w:rPr>
          <w:rFonts w:cs="Arial"/>
        </w:rPr>
        <w:t xml:space="preserve">all steps taken </w:t>
      </w:r>
      <w:r w:rsidR="003E32CB">
        <w:rPr>
          <w:rFonts w:cs="Arial"/>
        </w:rPr>
        <w:t xml:space="preserve">need to be </w:t>
      </w:r>
      <w:r w:rsidRPr="00126277">
        <w:rPr>
          <w:rFonts w:cs="Arial"/>
        </w:rPr>
        <w:t xml:space="preserve">documented in detail and specific data sources </w:t>
      </w:r>
      <w:r w:rsidR="003E32CB">
        <w:rPr>
          <w:rFonts w:cs="Arial"/>
        </w:rPr>
        <w:t>need to be</w:t>
      </w:r>
      <w:r w:rsidRPr="00126277">
        <w:rPr>
          <w:rFonts w:cs="Arial"/>
        </w:rPr>
        <w:t xml:space="preserve"> provided. The presentation of results need to be clear on what the estimated figure covers and what it does not cover. </w:t>
      </w:r>
    </w:p>
    <w:p w:rsidR="00272BBC" w:rsidRDefault="00272BBC" w:rsidP="00126277">
      <w:pPr>
        <w:pStyle w:val="BodyText1"/>
        <w:spacing w:after="0" w:line="276" w:lineRule="auto"/>
        <w:rPr>
          <w:rFonts w:cs="Arial"/>
        </w:rPr>
      </w:pPr>
    </w:p>
    <w:p w:rsidR="003F3C10" w:rsidRPr="003F3C10" w:rsidRDefault="003F3C10" w:rsidP="003F3C10">
      <w:pPr>
        <w:pStyle w:val="BodyText1"/>
        <w:numPr>
          <w:ilvl w:val="0"/>
          <w:numId w:val="5"/>
        </w:numPr>
        <w:spacing w:after="0" w:line="276" w:lineRule="auto"/>
        <w:rPr>
          <w:rFonts w:cs="Arial"/>
          <w:szCs w:val="22"/>
        </w:rPr>
      </w:pPr>
      <w:r w:rsidRPr="003F3C10">
        <w:rPr>
          <w:rFonts w:cs="Arial"/>
          <w:b/>
          <w:szCs w:val="22"/>
        </w:rPr>
        <w:t>Step One</w:t>
      </w:r>
      <w:r w:rsidR="00C779D3">
        <w:rPr>
          <w:rFonts w:cs="Arial"/>
          <w:b/>
          <w:szCs w:val="22"/>
        </w:rPr>
        <w:t xml:space="preserve"> </w:t>
      </w:r>
      <w:r w:rsidR="00C779D3">
        <w:rPr>
          <w:rFonts w:cs="Arial"/>
          <w:szCs w:val="22"/>
        </w:rPr>
        <w:t>(</w:t>
      </w:r>
      <w:r w:rsidR="00C779D3" w:rsidRPr="00C779D3">
        <w:rPr>
          <w:rFonts w:cs="Arial"/>
          <w:i/>
          <w:szCs w:val="22"/>
        </w:rPr>
        <w:t>See Annex A for details</w:t>
      </w:r>
      <w:r w:rsidR="00C779D3">
        <w:rPr>
          <w:rFonts w:cs="Arial"/>
          <w:szCs w:val="22"/>
        </w:rPr>
        <w:t>)</w:t>
      </w:r>
      <w:r w:rsidRPr="003F3C10">
        <w:rPr>
          <w:rFonts w:cs="Arial"/>
          <w:b/>
          <w:szCs w:val="22"/>
        </w:rPr>
        <w:t>:</w:t>
      </w:r>
      <w:r w:rsidRPr="003F3C10">
        <w:rPr>
          <w:rFonts w:cs="Arial"/>
          <w:szCs w:val="22"/>
        </w:rPr>
        <w:t xml:space="preserve"> Identify the relevant programmes </w:t>
      </w:r>
      <w:r w:rsidR="003E32CB">
        <w:rPr>
          <w:rFonts w:cs="Arial"/>
          <w:szCs w:val="22"/>
        </w:rPr>
        <w:t xml:space="preserve">or departments </w:t>
      </w:r>
      <w:r w:rsidRPr="003F3C10">
        <w:rPr>
          <w:rFonts w:cs="Arial"/>
          <w:szCs w:val="22"/>
        </w:rPr>
        <w:t>through a key word</w:t>
      </w:r>
      <w:r w:rsidRPr="003F3C10">
        <w:rPr>
          <w:rStyle w:val="FootnoteReference"/>
          <w:rFonts w:cs="Arial"/>
          <w:szCs w:val="22"/>
        </w:rPr>
        <w:footnoteReference w:id="2"/>
      </w:r>
      <w:r w:rsidR="00C779D3">
        <w:rPr>
          <w:rFonts w:cs="Arial"/>
          <w:szCs w:val="22"/>
        </w:rPr>
        <w:t xml:space="preserve"> search </w:t>
      </w:r>
    </w:p>
    <w:p w:rsidR="003F3C10" w:rsidRPr="003F3C10" w:rsidRDefault="003F3C10" w:rsidP="003F3C10">
      <w:pPr>
        <w:pStyle w:val="BodyText1"/>
        <w:numPr>
          <w:ilvl w:val="0"/>
          <w:numId w:val="5"/>
        </w:numPr>
        <w:spacing w:after="0" w:line="276" w:lineRule="auto"/>
        <w:rPr>
          <w:rFonts w:cs="Arial"/>
          <w:szCs w:val="22"/>
        </w:rPr>
      </w:pPr>
      <w:r w:rsidRPr="003F3C10">
        <w:rPr>
          <w:rFonts w:cs="Arial"/>
          <w:b/>
          <w:szCs w:val="22"/>
        </w:rPr>
        <w:t>Step Two</w:t>
      </w:r>
      <w:r w:rsidRPr="00C779D3">
        <w:rPr>
          <w:rFonts w:cs="Arial"/>
          <w:szCs w:val="22"/>
        </w:rPr>
        <w:t>:</w:t>
      </w:r>
      <w:r w:rsidRPr="003F3C10">
        <w:rPr>
          <w:rFonts w:cs="Arial"/>
          <w:szCs w:val="22"/>
        </w:rPr>
        <w:t xml:space="preserve"> Assess whether the programmes</w:t>
      </w:r>
      <w:r w:rsidR="003E32CB">
        <w:rPr>
          <w:rFonts w:cs="Arial"/>
          <w:szCs w:val="22"/>
        </w:rPr>
        <w:t>/departments</w:t>
      </w:r>
      <w:r w:rsidRPr="003F3C10">
        <w:rPr>
          <w:rFonts w:cs="Arial"/>
          <w:szCs w:val="22"/>
        </w:rPr>
        <w:t xml:space="preserve"> found fall under the category of “nutrition-specific” or “nutrition-sensitive” investments. “Nutrition-specific” budget allocations would be those that are within a nutrition department or a nutrition programme</w:t>
      </w:r>
      <w:r>
        <w:rPr>
          <w:rFonts w:cs="Arial"/>
          <w:szCs w:val="22"/>
        </w:rPr>
        <w:t xml:space="preserve"> or a so-called nutrition budget line</w:t>
      </w:r>
      <w:r w:rsidRPr="003F3C10">
        <w:rPr>
          <w:rFonts w:cs="Arial"/>
          <w:szCs w:val="22"/>
        </w:rPr>
        <w:t xml:space="preserve">. To be “nutrition-sensitive”, a programme would need to address underlying causes of malnutrition and especially be beneficial to the most vulnerable population including children and women. The existence of a Common Results Framework can effectively help sectors to decide which programmes to include or not. </w:t>
      </w:r>
    </w:p>
    <w:p w:rsidR="003F3C10" w:rsidRDefault="003F3C10" w:rsidP="003F3C10">
      <w:pPr>
        <w:pStyle w:val="BodyText1"/>
        <w:numPr>
          <w:ilvl w:val="0"/>
          <w:numId w:val="5"/>
        </w:numPr>
        <w:spacing w:after="0" w:line="276" w:lineRule="auto"/>
        <w:rPr>
          <w:rFonts w:cs="Arial"/>
          <w:szCs w:val="22"/>
        </w:rPr>
      </w:pPr>
      <w:r w:rsidRPr="003F3C10">
        <w:rPr>
          <w:rFonts w:cs="Arial"/>
          <w:b/>
          <w:szCs w:val="22"/>
        </w:rPr>
        <w:t>Step Three:</w:t>
      </w:r>
      <w:r w:rsidRPr="003F3C10">
        <w:rPr>
          <w:rFonts w:cs="Arial"/>
          <w:szCs w:val="22"/>
        </w:rPr>
        <w:t xml:space="preserve"> Attribute a percentage of the allocated budget to nutrition</w:t>
      </w:r>
      <w:r w:rsidR="00BB6F3F">
        <w:rPr>
          <w:rFonts w:cs="Arial"/>
          <w:szCs w:val="22"/>
        </w:rPr>
        <w:t xml:space="preserve"> (weighting)</w:t>
      </w:r>
      <w:r w:rsidRPr="003F3C10">
        <w:rPr>
          <w:rFonts w:cs="Arial"/>
          <w:szCs w:val="22"/>
        </w:rPr>
        <w:t xml:space="preserve">. 100% of the amount would be allocated in the case of programmes that have been categorized as “nutrition-specific” while </w:t>
      </w:r>
      <w:r w:rsidR="00BB6F3F">
        <w:rPr>
          <w:rFonts w:cs="Arial"/>
          <w:szCs w:val="22"/>
        </w:rPr>
        <w:t xml:space="preserve">a reasonable amount decided by the stakeholders (e.g. 25%) would be allocated in the </w:t>
      </w:r>
      <w:r w:rsidRPr="003F3C10">
        <w:rPr>
          <w:rFonts w:cs="Arial"/>
          <w:szCs w:val="22"/>
        </w:rPr>
        <w:t>case of programmes that have been categorized as “nutrition-sensitive”.</w:t>
      </w:r>
      <w:r w:rsidRPr="003F3C10">
        <w:rPr>
          <w:rStyle w:val="FootnoteReference"/>
          <w:rFonts w:cs="Arial"/>
          <w:szCs w:val="22"/>
        </w:rPr>
        <w:footnoteReference w:id="3"/>
      </w:r>
      <w:r w:rsidR="00BB6F3F">
        <w:rPr>
          <w:rFonts w:cs="Arial"/>
          <w:szCs w:val="22"/>
        </w:rPr>
        <w:t xml:space="preserve"> </w:t>
      </w:r>
    </w:p>
    <w:p w:rsidR="00BB6F3F" w:rsidRDefault="00BB6F3F" w:rsidP="00C779D3">
      <w:pPr>
        <w:pStyle w:val="BodyText1"/>
        <w:spacing w:after="0" w:line="276" w:lineRule="auto"/>
        <w:rPr>
          <w:rFonts w:cs="Arial"/>
          <w:szCs w:val="22"/>
        </w:rPr>
      </w:pPr>
    </w:p>
    <w:p w:rsidR="00C779D3" w:rsidRPr="003F3C10" w:rsidRDefault="00C779D3" w:rsidP="00C779D3">
      <w:pPr>
        <w:pStyle w:val="BodyText1"/>
        <w:spacing w:after="0" w:line="276" w:lineRule="auto"/>
        <w:rPr>
          <w:rFonts w:cs="Arial"/>
          <w:szCs w:val="22"/>
        </w:rPr>
      </w:pPr>
      <w:r>
        <w:rPr>
          <w:rFonts w:cs="Arial"/>
          <w:szCs w:val="22"/>
        </w:rPr>
        <w:t xml:space="preserve">Step </w:t>
      </w:r>
      <w:proofErr w:type="gramStart"/>
      <w:r>
        <w:rPr>
          <w:rFonts w:cs="Arial"/>
          <w:szCs w:val="22"/>
        </w:rPr>
        <w:t>One</w:t>
      </w:r>
      <w:proofErr w:type="gramEnd"/>
      <w:r>
        <w:rPr>
          <w:rFonts w:cs="Arial"/>
          <w:szCs w:val="22"/>
        </w:rPr>
        <w:t xml:space="preserve"> would be part of the preparatory work exercise while Step Two and Step Three would require close consultation with sector representatives that are familiar with the programmes. Ideally, step three would need to be validated through a technical meeting with participants from the SUN Multi-Stakeholder Platform. </w:t>
      </w:r>
    </w:p>
    <w:p w:rsidR="00126277" w:rsidRDefault="00126277" w:rsidP="00126277">
      <w:pPr>
        <w:pStyle w:val="BodyText1"/>
        <w:spacing w:after="0"/>
        <w:ind w:left="360"/>
      </w:pPr>
    </w:p>
    <w:p w:rsidR="00272BBC" w:rsidRDefault="00272BBC">
      <w:pPr>
        <w:rPr>
          <w:b/>
          <w:color w:val="ED7D31" w:themeColor="accent2"/>
        </w:rPr>
      </w:pPr>
    </w:p>
    <w:p w:rsidR="00BB6F3F" w:rsidRPr="00026592" w:rsidRDefault="00BB6F3F" w:rsidP="00026592">
      <w:pPr>
        <w:rPr>
          <w:b/>
          <w:vanish/>
          <w:color w:val="ED7D31" w:themeColor="accent2"/>
          <w:specVanish/>
        </w:rPr>
      </w:pPr>
      <w:r>
        <w:rPr>
          <w:b/>
          <w:color w:val="ED7D31" w:themeColor="accent2"/>
        </w:rPr>
        <w:br/>
      </w:r>
      <w:r w:rsidR="00026592">
        <w:rPr>
          <w:b/>
          <w:color w:val="ED7D31" w:themeColor="accent2"/>
        </w:rPr>
        <w:t xml:space="preserve">THIS NOTE FOCUSES ONLY ON STEP ONE (ANNEX </w:t>
      </w:r>
      <w:r w:rsidR="00BD080F">
        <w:rPr>
          <w:b/>
          <w:color w:val="ED7D31" w:themeColor="accent2"/>
        </w:rPr>
        <w:t>A AND FAQ</w:t>
      </w:r>
      <w:r w:rsidR="00026592">
        <w:rPr>
          <w:b/>
          <w:color w:val="ED7D31" w:themeColor="accent2"/>
        </w:rPr>
        <w:t>)</w:t>
      </w:r>
    </w:p>
    <w:p w:rsidR="00026592" w:rsidRDefault="00026592">
      <w:pPr>
        <w:rPr>
          <w:b/>
          <w:color w:val="ED7D31" w:themeColor="accent2"/>
        </w:rPr>
      </w:pPr>
      <w:r>
        <w:rPr>
          <w:b/>
          <w:color w:val="ED7D31" w:themeColor="accent2"/>
        </w:rPr>
        <w:t xml:space="preserve"> </w:t>
      </w:r>
    </w:p>
    <w:p w:rsidR="00026592" w:rsidRDefault="00026592">
      <w:pPr>
        <w:spacing w:after="160" w:line="259" w:lineRule="auto"/>
        <w:rPr>
          <w:b/>
          <w:color w:val="ED7D31" w:themeColor="accent2"/>
        </w:rPr>
      </w:pPr>
      <w:r>
        <w:rPr>
          <w:b/>
          <w:color w:val="ED7D31" w:themeColor="accent2"/>
        </w:rPr>
        <w:br w:type="page"/>
      </w:r>
    </w:p>
    <w:p w:rsidR="0021256B" w:rsidRPr="00BB6F3F" w:rsidRDefault="00C779D3">
      <w:pPr>
        <w:rPr>
          <w:b/>
          <w:vanish/>
          <w:color w:val="ED7D31" w:themeColor="accent2"/>
          <w:specVanish/>
        </w:rPr>
      </w:pPr>
      <w:r w:rsidRPr="00C779D3">
        <w:rPr>
          <w:b/>
          <w:color w:val="ED7D31" w:themeColor="accent2"/>
        </w:rPr>
        <w:lastRenderedPageBreak/>
        <w:t>Annex A</w:t>
      </w:r>
    </w:p>
    <w:p w:rsidR="00C779D3" w:rsidRDefault="00BB6F3F">
      <w:pPr>
        <w:rPr>
          <w:b/>
        </w:rPr>
      </w:pPr>
      <w:r>
        <w:rPr>
          <w:b/>
        </w:rPr>
        <w:t xml:space="preserve"> </w:t>
      </w:r>
    </w:p>
    <w:p w:rsidR="00C779D3" w:rsidRPr="00C779D3" w:rsidRDefault="00272BBC" w:rsidP="00C779D3">
      <w:pPr>
        <w:pStyle w:val="BodyText1"/>
        <w:rPr>
          <w:b/>
          <w:color w:val="ED7D31" w:themeColor="accent2"/>
          <w:sz w:val="24"/>
        </w:rPr>
      </w:pPr>
      <w:r w:rsidRPr="002D0831">
        <w:rPr>
          <w:b/>
          <w:color w:val="ED7D31" w:themeColor="accent2"/>
          <w:sz w:val="24"/>
          <w:u w:val="single"/>
        </w:rPr>
        <w:t>Step One</w:t>
      </w:r>
      <w:r>
        <w:rPr>
          <w:b/>
          <w:color w:val="ED7D31" w:themeColor="accent2"/>
          <w:sz w:val="24"/>
        </w:rPr>
        <w:t xml:space="preserve">: </w:t>
      </w:r>
      <w:r w:rsidR="00C779D3" w:rsidRPr="00C779D3">
        <w:rPr>
          <w:b/>
          <w:color w:val="ED7D31" w:themeColor="accent2"/>
          <w:sz w:val="24"/>
        </w:rPr>
        <w:t>Key words (tentative list)</w:t>
      </w:r>
    </w:p>
    <w:p w:rsidR="00C779D3" w:rsidRDefault="00C779D3" w:rsidP="00C779D3">
      <w:pPr>
        <w:rPr>
          <w:b/>
        </w:rPr>
      </w:pPr>
    </w:p>
    <w:p w:rsidR="002D0831" w:rsidRPr="002D0831" w:rsidRDefault="00BB6F3F" w:rsidP="00C779D3">
      <w:pPr>
        <w:jc w:val="both"/>
      </w:pPr>
      <w:r>
        <w:t xml:space="preserve">The </w:t>
      </w:r>
      <w:r w:rsidR="002D0831">
        <w:rPr>
          <w:b/>
        </w:rPr>
        <w:t xml:space="preserve">first milestone </w:t>
      </w:r>
      <w:r w:rsidR="002D0831">
        <w:t xml:space="preserve">is to share the national budget or the official financial documents that are going to be used for the exercise. </w:t>
      </w:r>
    </w:p>
    <w:p w:rsidR="002D0831" w:rsidRDefault="002D0831" w:rsidP="00C779D3">
      <w:pPr>
        <w:jc w:val="both"/>
      </w:pPr>
    </w:p>
    <w:p w:rsidR="002D0831" w:rsidRDefault="002D0831" w:rsidP="00C779D3">
      <w:pPr>
        <w:jc w:val="both"/>
      </w:pPr>
      <w:r>
        <w:t xml:space="preserve">The </w:t>
      </w:r>
      <w:r>
        <w:rPr>
          <w:b/>
        </w:rPr>
        <w:t>second</w:t>
      </w:r>
      <w:r w:rsidR="00BB6F3F" w:rsidRPr="002D0831">
        <w:rPr>
          <w:b/>
        </w:rPr>
        <w:t xml:space="preserve"> milestone</w:t>
      </w:r>
      <w:r w:rsidR="00C779D3">
        <w:t xml:space="preserve"> </w:t>
      </w:r>
      <w:r w:rsidR="00BB6F3F">
        <w:t xml:space="preserve">is </w:t>
      </w:r>
      <w:r w:rsidR="00C779D3">
        <w:t xml:space="preserve">to </w:t>
      </w:r>
      <w:r>
        <w:t>provide a list of</w:t>
      </w:r>
      <w:r w:rsidR="00C779D3">
        <w:t xml:space="preserve"> </w:t>
      </w:r>
      <w:r w:rsidR="00C779D3" w:rsidRPr="00E10790">
        <w:rPr>
          <w:b/>
        </w:rPr>
        <w:t xml:space="preserve">key </w:t>
      </w:r>
      <w:proofErr w:type="spellStart"/>
      <w:r w:rsidR="00C779D3" w:rsidRPr="00E10790">
        <w:rPr>
          <w:b/>
        </w:rPr>
        <w:t>sectoral</w:t>
      </w:r>
      <w:proofErr w:type="spellEnd"/>
      <w:r w:rsidR="00C779D3" w:rsidRPr="00E10790">
        <w:rPr>
          <w:b/>
        </w:rPr>
        <w:t xml:space="preserve"> domains</w:t>
      </w:r>
      <w:r>
        <w:t xml:space="preserve"> that will be included in the exercise:</w:t>
      </w:r>
    </w:p>
    <w:p w:rsidR="002D0831" w:rsidRDefault="002D0831" w:rsidP="002D0831">
      <w:pPr>
        <w:pStyle w:val="ListParagraph"/>
        <w:numPr>
          <w:ilvl w:val="0"/>
          <w:numId w:val="17"/>
        </w:numPr>
        <w:jc w:val="both"/>
      </w:pPr>
      <w:r>
        <w:t xml:space="preserve">The Ministries of Health, Agriculture and Education are clearly identifiable in all national budgets. </w:t>
      </w:r>
    </w:p>
    <w:p w:rsidR="002D0831" w:rsidRDefault="002D0831" w:rsidP="002D0831">
      <w:pPr>
        <w:pStyle w:val="ListParagraph"/>
        <w:numPr>
          <w:ilvl w:val="0"/>
          <w:numId w:val="17"/>
        </w:numPr>
        <w:jc w:val="both"/>
      </w:pPr>
      <w:r>
        <w:t xml:space="preserve">The functional areas of social protection, WASH and gender may be in the in the title of different ministries depending on the country. </w:t>
      </w:r>
    </w:p>
    <w:p w:rsidR="002D0831" w:rsidRDefault="002D0831" w:rsidP="002D0831">
      <w:pPr>
        <w:jc w:val="both"/>
      </w:pPr>
      <w:r>
        <w:t xml:space="preserve">Please, clearly list all the Ministries you want to include using the same title as indicated in the national budgets or the financial documents. </w:t>
      </w:r>
    </w:p>
    <w:p w:rsidR="002D0831" w:rsidRDefault="002D0831" w:rsidP="002D0831">
      <w:pPr>
        <w:jc w:val="both"/>
      </w:pPr>
    </w:p>
    <w:p w:rsidR="002D0831" w:rsidRPr="00DD4D87" w:rsidRDefault="002D0831" w:rsidP="002D0831">
      <w:pPr>
        <w:jc w:val="both"/>
        <w:rPr>
          <w:color w:val="ED7D31" w:themeColor="accent2"/>
        </w:rPr>
      </w:pPr>
      <w:r w:rsidRPr="00DD4D87">
        <w:rPr>
          <w:color w:val="ED7D31" w:themeColor="accent2"/>
        </w:rPr>
        <w:t xml:space="preserve">The </w:t>
      </w:r>
      <w:r w:rsidRPr="00DD4D87">
        <w:rPr>
          <w:b/>
          <w:color w:val="ED7D31" w:themeColor="accent2"/>
        </w:rPr>
        <w:t>basic key-word search</w:t>
      </w:r>
      <w:r w:rsidRPr="00DD4D87">
        <w:rPr>
          <w:color w:val="ED7D31" w:themeColor="accent2"/>
        </w:rPr>
        <w:t xml:space="preserve"> will be done using the word </w:t>
      </w:r>
      <w:r w:rsidRPr="00DD4D87">
        <w:rPr>
          <w:b/>
          <w:color w:val="ED7D31" w:themeColor="accent2"/>
        </w:rPr>
        <w:t>‘nutrition’</w:t>
      </w:r>
      <w:r w:rsidRPr="00DD4D87">
        <w:rPr>
          <w:color w:val="ED7D31" w:themeColor="accent2"/>
        </w:rPr>
        <w:t xml:space="preserve"> to identify ‘nutrition’ programmes, departments or budget lines.  </w:t>
      </w:r>
    </w:p>
    <w:p w:rsidR="002D0831" w:rsidRDefault="002D0831" w:rsidP="002D0831">
      <w:pPr>
        <w:jc w:val="both"/>
      </w:pPr>
    </w:p>
    <w:p w:rsidR="00BB6F3F" w:rsidRPr="00DD4D87" w:rsidRDefault="002D0831" w:rsidP="002D0831">
      <w:pPr>
        <w:jc w:val="both"/>
        <w:rPr>
          <w:color w:val="ED7D31" w:themeColor="accent2"/>
        </w:rPr>
      </w:pPr>
      <w:r w:rsidRPr="00DD4D87">
        <w:rPr>
          <w:color w:val="ED7D31" w:themeColor="accent2"/>
        </w:rPr>
        <w:t xml:space="preserve">The </w:t>
      </w:r>
      <w:r w:rsidRPr="00DD4D87">
        <w:rPr>
          <w:b/>
          <w:color w:val="ED7D31" w:themeColor="accent2"/>
        </w:rPr>
        <w:t xml:space="preserve">advanced key-word search </w:t>
      </w:r>
      <w:r w:rsidRPr="00DD4D87">
        <w:rPr>
          <w:color w:val="ED7D31" w:themeColor="accent2"/>
        </w:rPr>
        <w:t xml:space="preserve">will be done </w:t>
      </w:r>
      <w:r w:rsidR="00E10790" w:rsidRPr="00DD4D87">
        <w:rPr>
          <w:color w:val="ED7D31" w:themeColor="accent2"/>
        </w:rPr>
        <w:t xml:space="preserve">by applying </w:t>
      </w:r>
      <w:r w:rsidR="00F74848">
        <w:rPr>
          <w:color w:val="ED7D31" w:themeColor="accent2"/>
        </w:rPr>
        <w:t>identified</w:t>
      </w:r>
      <w:r w:rsidR="00E10790" w:rsidRPr="00DD4D87">
        <w:rPr>
          <w:color w:val="ED7D31" w:themeColor="accent2"/>
        </w:rPr>
        <w:t xml:space="preserve"> key-words t</w:t>
      </w:r>
      <w:r w:rsidR="00B44DDC">
        <w:rPr>
          <w:color w:val="ED7D31" w:themeColor="accent2"/>
        </w:rPr>
        <w:t xml:space="preserve">o </w:t>
      </w:r>
      <w:r w:rsidR="00E10790" w:rsidRPr="00DD4D87">
        <w:rPr>
          <w:color w:val="ED7D31" w:themeColor="accent2"/>
        </w:rPr>
        <w:t xml:space="preserve">increase the </w:t>
      </w:r>
      <w:r w:rsidR="00B44DDC">
        <w:rPr>
          <w:color w:val="ED7D31" w:themeColor="accent2"/>
        </w:rPr>
        <w:t>likelihood</w:t>
      </w:r>
      <w:r w:rsidR="00E10790" w:rsidRPr="00DD4D87">
        <w:rPr>
          <w:color w:val="ED7D31" w:themeColor="accent2"/>
        </w:rPr>
        <w:t xml:space="preserve"> of finding budget allocations </w:t>
      </w:r>
      <w:r w:rsidR="00DD4D87">
        <w:rPr>
          <w:color w:val="ED7D31" w:themeColor="accent2"/>
        </w:rPr>
        <w:t>that are relevant to nutrition.</w:t>
      </w:r>
    </w:p>
    <w:p w:rsidR="00E10790" w:rsidRDefault="00E10790" w:rsidP="00E10790">
      <w:pPr>
        <w:suppressAutoHyphens/>
        <w:spacing w:line="257" w:lineRule="auto"/>
        <w:jc w:val="both"/>
        <w:rPr>
          <w:rFonts w:cs="Arial"/>
        </w:rPr>
      </w:pPr>
    </w:p>
    <w:tbl>
      <w:tblPr>
        <w:tblStyle w:val="TableGrid"/>
        <w:tblW w:w="10350" w:type="dxa"/>
        <w:tblInd w:w="-455" w:type="dxa"/>
        <w:tblLook w:val="04A0" w:firstRow="1" w:lastRow="0" w:firstColumn="1" w:lastColumn="0" w:noHBand="0" w:noVBand="1"/>
      </w:tblPr>
      <w:tblGrid>
        <w:gridCol w:w="1572"/>
        <w:gridCol w:w="8778"/>
      </w:tblGrid>
      <w:tr w:rsidR="00E10790" w:rsidTr="00877DBC">
        <w:tc>
          <w:tcPr>
            <w:tcW w:w="1572" w:type="dxa"/>
          </w:tcPr>
          <w:p w:rsidR="00E10790" w:rsidRPr="00E10790" w:rsidRDefault="00E10790" w:rsidP="00E10790">
            <w:pPr>
              <w:suppressAutoHyphens/>
              <w:spacing w:after="160" w:line="256" w:lineRule="auto"/>
              <w:rPr>
                <w:rFonts w:cs="Arial"/>
                <w:b/>
              </w:rPr>
            </w:pPr>
            <w:proofErr w:type="spellStart"/>
            <w:r w:rsidRPr="00E10790">
              <w:rPr>
                <w:rFonts w:cs="Arial"/>
                <w:b/>
              </w:rPr>
              <w:t>Sectoral</w:t>
            </w:r>
            <w:proofErr w:type="spellEnd"/>
            <w:r w:rsidRPr="00E10790">
              <w:rPr>
                <w:rFonts w:cs="Arial"/>
                <w:b/>
              </w:rPr>
              <w:t xml:space="preserve"> domain</w:t>
            </w:r>
          </w:p>
        </w:tc>
        <w:tc>
          <w:tcPr>
            <w:tcW w:w="8778" w:type="dxa"/>
          </w:tcPr>
          <w:p w:rsidR="00E10790" w:rsidRPr="00DD4D87" w:rsidRDefault="00DD4D87" w:rsidP="00E10790">
            <w:pPr>
              <w:suppressAutoHyphens/>
              <w:spacing w:after="160" w:line="256" w:lineRule="auto"/>
              <w:rPr>
                <w:rFonts w:cs="Arial"/>
                <w:b/>
              </w:rPr>
            </w:pPr>
            <w:r w:rsidRPr="00DD4D87">
              <w:rPr>
                <w:rFonts w:cs="Arial"/>
                <w:b/>
              </w:rPr>
              <w:t>Key words</w:t>
            </w:r>
            <w:r>
              <w:rPr>
                <w:rFonts w:cs="Arial"/>
                <w:b/>
              </w:rPr>
              <w:t xml:space="preserve"> (examples)</w:t>
            </w:r>
          </w:p>
        </w:tc>
      </w:tr>
      <w:tr w:rsidR="00E10790" w:rsidTr="00877DBC">
        <w:tc>
          <w:tcPr>
            <w:tcW w:w="1572" w:type="dxa"/>
          </w:tcPr>
          <w:p w:rsidR="00E10790" w:rsidRDefault="00E10790" w:rsidP="00E10790">
            <w:pPr>
              <w:suppressAutoHyphens/>
              <w:spacing w:after="160" w:line="256" w:lineRule="auto"/>
              <w:rPr>
                <w:rFonts w:cs="Arial"/>
              </w:rPr>
            </w:pPr>
            <w:r w:rsidRPr="007D7FB3">
              <w:rPr>
                <w:rFonts w:cs="Arial"/>
                <w:b/>
              </w:rPr>
              <w:t>Health</w:t>
            </w:r>
            <w:r w:rsidRPr="00381263">
              <w:rPr>
                <w:rFonts w:cs="Arial"/>
              </w:rPr>
              <w:t>:</w:t>
            </w:r>
          </w:p>
        </w:tc>
        <w:tc>
          <w:tcPr>
            <w:tcW w:w="8778" w:type="dxa"/>
          </w:tcPr>
          <w:p w:rsidR="00E10790" w:rsidRDefault="00E10790" w:rsidP="00F74848">
            <w:pPr>
              <w:suppressAutoHyphens/>
              <w:spacing w:after="160" w:line="256" w:lineRule="auto"/>
              <w:rPr>
                <w:rFonts w:cs="Arial"/>
              </w:rPr>
            </w:pPr>
            <w:r w:rsidRPr="00381263">
              <w:rPr>
                <w:rFonts w:cs="Arial"/>
              </w:rPr>
              <w:t>maternal, neonatal, child and adolescent health, non-communicable diseases, hygiene, micro nutrients, feeding practices, malnutrition, family planning</w:t>
            </w:r>
            <w:r>
              <w:rPr>
                <w:rFonts w:cs="Arial"/>
              </w:rPr>
              <w:t xml:space="preserve"> or reproductive health</w:t>
            </w:r>
            <w:r w:rsidR="00F74848">
              <w:rPr>
                <w:rFonts w:cs="Arial"/>
              </w:rPr>
              <w:t>, HIV/AIDS and TB, sanitation, baby-friendly</w:t>
            </w:r>
          </w:p>
        </w:tc>
      </w:tr>
      <w:tr w:rsidR="00E10790" w:rsidTr="00877DBC">
        <w:tc>
          <w:tcPr>
            <w:tcW w:w="1572" w:type="dxa"/>
          </w:tcPr>
          <w:p w:rsidR="00E10790" w:rsidRDefault="00E10790" w:rsidP="00E10790">
            <w:pPr>
              <w:suppressAutoHyphens/>
              <w:spacing w:after="160" w:line="256" w:lineRule="auto"/>
              <w:rPr>
                <w:rFonts w:cs="Arial"/>
              </w:rPr>
            </w:pPr>
            <w:r w:rsidRPr="007D7FB3">
              <w:rPr>
                <w:rFonts w:cs="Arial"/>
                <w:b/>
              </w:rPr>
              <w:t>Agriculture</w:t>
            </w:r>
            <w:r w:rsidRPr="00381263">
              <w:rPr>
                <w:rFonts w:cs="Arial"/>
              </w:rPr>
              <w:t>:</w:t>
            </w:r>
          </w:p>
        </w:tc>
        <w:tc>
          <w:tcPr>
            <w:tcW w:w="8778" w:type="dxa"/>
          </w:tcPr>
          <w:p w:rsidR="00E10790" w:rsidRDefault="00B63ED0" w:rsidP="00E10790">
            <w:pPr>
              <w:suppressAutoHyphens/>
              <w:spacing w:after="160" w:line="256" w:lineRule="auto"/>
              <w:rPr>
                <w:rFonts w:cs="Arial"/>
              </w:rPr>
            </w:pPr>
            <w:r>
              <w:rPr>
                <w:rFonts w:cs="Arial"/>
              </w:rPr>
              <w:t xml:space="preserve">women, </w:t>
            </w:r>
            <w:r w:rsidR="00F74848">
              <w:rPr>
                <w:rFonts w:cs="Arial"/>
              </w:rPr>
              <w:t>s</w:t>
            </w:r>
            <w:r w:rsidR="00E10790" w:rsidRPr="00E10790">
              <w:rPr>
                <w:rFonts w:cs="Arial"/>
              </w:rPr>
              <w:t>taples</w:t>
            </w:r>
            <w:r w:rsidR="00E10790">
              <w:rPr>
                <w:rFonts w:cs="Arial"/>
              </w:rPr>
              <w:t xml:space="preserve"> (grains, roots, cereals), legumes</w:t>
            </w:r>
            <w:r w:rsidR="00E10790" w:rsidRPr="00E10790">
              <w:rPr>
                <w:rFonts w:cs="Arial"/>
              </w:rPr>
              <w:t xml:space="preserve">, </w:t>
            </w:r>
            <w:r w:rsidR="00E10790">
              <w:rPr>
                <w:rFonts w:cs="Arial"/>
              </w:rPr>
              <w:t xml:space="preserve">pulses, nuts, </w:t>
            </w:r>
            <w:r w:rsidR="00E10790" w:rsidRPr="00E10790">
              <w:rPr>
                <w:rFonts w:cs="Arial"/>
              </w:rPr>
              <w:t>fruits and vegetables, animal sources, fishery sources, extension services, cooperatives</w:t>
            </w:r>
            <w:r w:rsidR="00F74848">
              <w:rPr>
                <w:rFonts w:cs="Arial"/>
              </w:rPr>
              <w:t xml:space="preserve">, </w:t>
            </w:r>
            <w:r w:rsidR="00E10790" w:rsidRPr="00E10790">
              <w:rPr>
                <w:rFonts w:cs="Arial"/>
              </w:rPr>
              <w:t xml:space="preserve">smallholders, food aid, relief, </w:t>
            </w:r>
            <w:r w:rsidR="00E10790" w:rsidRPr="00E10790">
              <w:rPr>
                <w:iCs/>
              </w:rPr>
              <w:t>family farming, food, food security, hunger, rural development, bio fortification, food-safety</w:t>
            </w:r>
            <w:r w:rsidR="00E10790">
              <w:rPr>
                <w:iCs/>
              </w:rPr>
              <w:t>, aflatoxin</w:t>
            </w:r>
            <w:r w:rsidR="00E10790" w:rsidRPr="00E10790">
              <w:t>.</w:t>
            </w:r>
            <w:r w:rsidR="00E10790" w:rsidRPr="00E10790">
              <w:rPr>
                <w:rFonts w:cs="Arial"/>
              </w:rPr>
              <w:t xml:space="preserve"> </w:t>
            </w:r>
          </w:p>
          <w:p w:rsidR="00E10790" w:rsidRDefault="00E10790" w:rsidP="00C913D5">
            <w:pPr>
              <w:suppressAutoHyphens/>
              <w:spacing w:after="160" w:line="256" w:lineRule="auto"/>
              <w:rPr>
                <w:rFonts w:cs="Arial"/>
              </w:rPr>
            </w:pPr>
            <w:r>
              <w:rPr>
                <w:rFonts w:cs="Arial"/>
              </w:rPr>
              <w:t xml:space="preserve">Note: </w:t>
            </w:r>
            <w:r w:rsidR="00C913D5">
              <w:rPr>
                <w:rFonts w:cs="Arial"/>
              </w:rPr>
              <w:t>differentiate</w:t>
            </w:r>
            <w:r w:rsidRPr="00E10790">
              <w:rPr>
                <w:rFonts w:cs="Arial"/>
              </w:rPr>
              <w:t xml:space="preserve"> what is done to enhance domestic </w:t>
            </w:r>
            <w:r w:rsidR="00C913D5">
              <w:rPr>
                <w:rFonts w:cs="Arial"/>
              </w:rPr>
              <w:t xml:space="preserve">vs. export </w:t>
            </w:r>
            <w:r w:rsidRPr="00E10790">
              <w:rPr>
                <w:rFonts w:cs="Arial"/>
              </w:rPr>
              <w:t>markets</w:t>
            </w:r>
          </w:p>
        </w:tc>
      </w:tr>
      <w:tr w:rsidR="00B44DDC" w:rsidTr="00877DBC">
        <w:trPr>
          <w:trHeight w:val="512"/>
        </w:trPr>
        <w:tc>
          <w:tcPr>
            <w:tcW w:w="1572" w:type="dxa"/>
          </w:tcPr>
          <w:p w:rsidR="00B44DDC" w:rsidRDefault="00B44DDC" w:rsidP="00254F93">
            <w:pPr>
              <w:suppressAutoHyphens/>
              <w:spacing w:after="160" w:line="256" w:lineRule="auto"/>
              <w:rPr>
                <w:rFonts w:cs="Arial"/>
              </w:rPr>
            </w:pPr>
            <w:r w:rsidRPr="007D7FB3">
              <w:rPr>
                <w:rFonts w:cs="Arial"/>
                <w:b/>
              </w:rPr>
              <w:t>Education</w:t>
            </w:r>
            <w:r w:rsidRPr="00381263">
              <w:rPr>
                <w:rFonts w:cs="Arial"/>
              </w:rPr>
              <w:t>:</w:t>
            </w:r>
          </w:p>
        </w:tc>
        <w:tc>
          <w:tcPr>
            <w:tcW w:w="8778" w:type="dxa"/>
          </w:tcPr>
          <w:p w:rsidR="00B44DDC" w:rsidRDefault="00B44DDC" w:rsidP="00F74848">
            <w:pPr>
              <w:suppressAutoHyphens/>
              <w:spacing w:after="160" w:line="256" w:lineRule="auto"/>
              <w:rPr>
                <w:rFonts w:cs="Arial"/>
              </w:rPr>
            </w:pPr>
            <w:r w:rsidRPr="00381263">
              <w:rPr>
                <w:rFonts w:cs="Arial"/>
              </w:rPr>
              <w:t>female education, rural education, female secondary education, school feeding, early child education</w:t>
            </w:r>
            <w:r>
              <w:rPr>
                <w:rFonts w:cs="Arial"/>
              </w:rPr>
              <w:t xml:space="preserve">, WASH, </w:t>
            </w:r>
            <w:r w:rsidR="00F74848">
              <w:rPr>
                <w:rFonts w:cs="Arial"/>
              </w:rPr>
              <w:t xml:space="preserve">hygiene, hand-washing, </w:t>
            </w:r>
            <w:r>
              <w:rPr>
                <w:rFonts w:cs="Arial"/>
              </w:rPr>
              <w:t>adult literacy</w:t>
            </w:r>
          </w:p>
        </w:tc>
      </w:tr>
      <w:tr w:rsidR="00B44DDC" w:rsidTr="00877DBC">
        <w:tc>
          <w:tcPr>
            <w:tcW w:w="1572" w:type="dxa"/>
          </w:tcPr>
          <w:p w:rsidR="00B44DDC" w:rsidRDefault="00B44DDC" w:rsidP="00877DBC">
            <w:pPr>
              <w:suppressAutoHyphens/>
              <w:spacing w:after="160" w:line="256" w:lineRule="auto"/>
              <w:jc w:val="left"/>
              <w:rPr>
                <w:rFonts w:cs="Arial"/>
              </w:rPr>
            </w:pPr>
            <w:r w:rsidRPr="007D7FB3">
              <w:rPr>
                <w:rFonts w:cs="Arial"/>
                <w:b/>
              </w:rPr>
              <w:t xml:space="preserve">Social </w:t>
            </w:r>
            <w:r w:rsidR="00877DBC">
              <w:rPr>
                <w:rFonts w:cs="Arial"/>
                <w:b/>
              </w:rPr>
              <w:t xml:space="preserve">welfare / </w:t>
            </w:r>
            <w:r>
              <w:rPr>
                <w:rFonts w:cs="Arial"/>
                <w:b/>
              </w:rPr>
              <w:t>protection</w:t>
            </w:r>
          </w:p>
        </w:tc>
        <w:tc>
          <w:tcPr>
            <w:tcW w:w="8778" w:type="dxa"/>
          </w:tcPr>
          <w:p w:rsidR="00B44DDC" w:rsidRDefault="00B44DDC" w:rsidP="00254F93">
            <w:pPr>
              <w:suppressAutoHyphens/>
              <w:spacing w:after="160" w:line="256" w:lineRule="auto"/>
              <w:rPr>
                <w:rFonts w:cs="Arial"/>
              </w:rPr>
            </w:pPr>
            <w:r>
              <w:rPr>
                <w:rFonts w:cs="Arial"/>
              </w:rPr>
              <w:t>women, safety net programs, cash and voucher transfers, orphan and vulnerable children, pension, insurance</w:t>
            </w:r>
          </w:p>
        </w:tc>
      </w:tr>
      <w:tr w:rsidR="00E10790" w:rsidTr="00877DBC">
        <w:trPr>
          <w:trHeight w:val="548"/>
        </w:trPr>
        <w:tc>
          <w:tcPr>
            <w:tcW w:w="1572" w:type="dxa"/>
          </w:tcPr>
          <w:p w:rsidR="00E10790" w:rsidRDefault="00E10790" w:rsidP="00E10790">
            <w:pPr>
              <w:suppressAutoHyphens/>
              <w:spacing w:after="160" w:line="256" w:lineRule="auto"/>
              <w:rPr>
                <w:rFonts w:cs="Arial"/>
              </w:rPr>
            </w:pPr>
            <w:r w:rsidRPr="007D7FB3">
              <w:rPr>
                <w:rFonts w:cs="Arial"/>
                <w:b/>
              </w:rPr>
              <w:t>Infrastructure</w:t>
            </w:r>
            <w:r w:rsidRPr="00381263">
              <w:rPr>
                <w:rFonts w:cs="Arial"/>
              </w:rPr>
              <w:t>:</w:t>
            </w:r>
          </w:p>
        </w:tc>
        <w:tc>
          <w:tcPr>
            <w:tcW w:w="8778" w:type="dxa"/>
          </w:tcPr>
          <w:p w:rsidR="00E10790" w:rsidRDefault="00E10790" w:rsidP="00F74848">
            <w:pPr>
              <w:suppressAutoHyphens/>
              <w:spacing w:after="160" w:line="256" w:lineRule="auto"/>
              <w:rPr>
                <w:rFonts w:cs="Arial"/>
              </w:rPr>
            </w:pPr>
            <w:r w:rsidRPr="00E10790">
              <w:rPr>
                <w:rFonts w:cs="Arial"/>
              </w:rPr>
              <w:t>drinking water</w:t>
            </w:r>
            <w:r>
              <w:rPr>
                <w:rFonts w:cs="Arial"/>
              </w:rPr>
              <w:t xml:space="preserve"> supplies</w:t>
            </w:r>
            <w:r w:rsidRPr="00E10790">
              <w:rPr>
                <w:rFonts w:cs="Arial"/>
              </w:rPr>
              <w:t>, environmental sanitation,</w:t>
            </w:r>
            <w:r>
              <w:rPr>
                <w:rFonts w:cs="Arial"/>
              </w:rPr>
              <w:t xml:space="preserve"> sewages, </w:t>
            </w:r>
            <w:r w:rsidR="00F74848">
              <w:rPr>
                <w:rFonts w:cs="Arial"/>
              </w:rPr>
              <w:t>rural areas, remote areas, underserved areas, electricity, ICT, markets</w:t>
            </w:r>
          </w:p>
        </w:tc>
      </w:tr>
      <w:tr w:rsidR="00E10790" w:rsidTr="00877DBC">
        <w:tc>
          <w:tcPr>
            <w:tcW w:w="1572" w:type="dxa"/>
          </w:tcPr>
          <w:p w:rsidR="00E10790" w:rsidRDefault="00DD4D87" w:rsidP="00E10790">
            <w:pPr>
              <w:suppressAutoHyphens/>
              <w:spacing w:after="160" w:line="256" w:lineRule="auto"/>
              <w:rPr>
                <w:rFonts w:cs="Arial"/>
              </w:rPr>
            </w:pPr>
            <w:r w:rsidRPr="007D7FB3">
              <w:rPr>
                <w:rFonts w:cs="Arial"/>
                <w:b/>
              </w:rPr>
              <w:t>Governance</w:t>
            </w:r>
            <w:r w:rsidRPr="00381263">
              <w:rPr>
                <w:rFonts w:cs="Arial"/>
              </w:rPr>
              <w:t>:</w:t>
            </w:r>
          </w:p>
        </w:tc>
        <w:tc>
          <w:tcPr>
            <w:tcW w:w="8778" w:type="dxa"/>
          </w:tcPr>
          <w:p w:rsidR="00E10790" w:rsidRDefault="00C913D5" w:rsidP="00F74848">
            <w:pPr>
              <w:suppressAutoHyphens/>
              <w:spacing w:after="160" w:line="256" w:lineRule="auto"/>
              <w:rPr>
                <w:rFonts w:cs="Arial"/>
              </w:rPr>
            </w:pPr>
            <w:r>
              <w:rPr>
                <w:rFonts w:cs="Arial"/>
              </w:rPr>
              <w:t xml:space="preserve">women, children, </w:t>
            </w:r>
            <w:r w:rsidR="00DD4D87" w:rsidRPr="00DD4D87">
              <w:rPr>
                <w:rFonts w:cs="Arial"/>
              </w:rPr>
              <w:t>local governance, decentralization, civil society</w:t>
            </w:r>
            <w:r w:rsidR="00F74848">
              <w:rPr>
                <w:rFonts w:cs="Arial"/>
              </w:rPr>
              <w:t xml:space="preserve">, </w:t>
            </w:r>
            <w:r w:rsidR="00DD4D87" w:rsidRPr="00DD4D87">
              <w:rPr>
                <w:rFonts w:cs="Arial"/>
              </w:rPr>
              <w:t>transparency, equity</w:t>
            </w:r>
            <w:r w:rsidR="00F74848">
              <w:rPr>
                <w:rFonts w:cs="Arial"/>
              </w:rPr>
              <w:t xml:space="preserve">, </w:t>
            </w:r>
            <w:r w:rsidR="00DD4D87" w:rsidRPr="00DD4D87">
              <w:rPr>
                <w:rFonts w:cs="Arial"/>
              </w:rPr>
              <w:t xml:space="preserve">accountability, </w:t>
            </w:r>
            <w:r>
              <w:rPr>
                <w:rFonts w:cs="Arial"/>
              </w:rPr>
              <w:t xml:space="preserve">human </w:t>
            </w:r>
            <w:r w:rsidR="00DD4D87" w:rsidRPr="00DD4D87">
              <w:rPr>
                <w:rFonts w:cs="Arial"/>
              </w:rPr>
              <w:t>rights</w:t>
            </w:r>
            <w:r>
              <w:rPr>
                <w:rFonts w:cs="Arial"/>
              </w:rPr>
              <w:t xml:space="preserve">, </w:t>
            </w:r>
            <w:r w:rsidR="00DD4D87" w:rsidRPr="00DD4D87">
              <w:rPr>
                <w:rFonts w:cs="Arial"/>
              </w:rPr>
              <w:t>public safety, evidence-based</w:t>
            </w:r>
            <w:r w:rsidR="00DD4D87">
              <w:rPr>
                <w:rFonts w:cs="Arial"/>
              </w:rPr>
              <w:t>, pro-poor, accountability,</w:t>
            </w:r>
            <w:r>
              <w:rPr>
                <w:rFonts w:cs="Arial"/>
              </w:rPr>
              <w:t xml:space="preserve"> </w:t>
            </w:r>
            <w:r w:rsidR="00DD4D87" w:rsidRPr="00C913D5">
              <w:rPr>
                <w:rFonts w:cs="Arial"/>
                <w:i/>
              </w:rPr>
              <w:t>right-to-food, monitoring of breast-milk substitutes</w:t>
            </w:r>
            <w:r>
              <w:rPr>
                <w:rFonts w:cs="Arial"/>
                <w:i/>
              </w:rPr>
              <w:t>, fortification</w:t>
            </w:r>
          </w:p>
        </w:tc>
      </w:tr>
      <w:tr w:rsidR="00DD4D87" w:rsidTr="00877DBC">
        <w:trPr>
          <w:trHeight w:val="395"/>
        </w:trPr>
        <w:tc>
          <w:tcPr>
            <w:tcW w:w="1572" w:type="dxa"/>
          </w:tcPr>
          <w:p w:rsidR="00DD4D87" w:rsidRPr="007D7FB3" w:rsidRDefault="00DD4D87" w:rsidP="00E10790">
            <w:pPr>
              <w:suppressAutoHyphens/>
              <w:spacing w:after="160" w:line="256" w:lineRule="auto"/>
              <w:rPr>
                <w:rFonts w:cs="Arial"/>
                <w:b/>
              </w:rPr>
            </w:pPr>
            <w:r>
              <w:rPr>
                <w:rFonts w:cs="Arial"/>
                <w:b/>
              </w:rPr>
              <w:t>Employment</w:t>
            </w:r>
          </w:p>
        </w:tc>
        <w:tc>
          <w:tcPr>
            <w:tcW w:w="8778" w:type="dxa"/>
          </w:tcPr>
          <w:p w:rsidR="00DD4D87" w:rsidRPr="00DD4D87" w:rsidRDefault="00C913D5" w:rsidP="001365D5">
            <w:pPr>
              <w:suppressAutoHyphens/>
              <w:spacing w:after="160" w:line="256" w:lineRule="auto"/>
              <w:rPr>
                <w:rFonts w:cs="Arial"/>
              </w:rPr>
            </w:pPr>
            <w:r>
              <w:rPr>
                <w:rFonts w:cs="Arial"/>
              </w:rPr>
              <w:t xml:space="preserve">women, maternity leave, </w:t>
            </w:r>
            <w:r w:rsidR="00B44DDC">
              <w:rPr>
                <w:rFonts w:cs="Arial"/>
              </w:rPr>
              <w:t xml:space="preserve">maternity protection, </w:t>
            </w:r>
            <w:r>
              <w:rPr>
                <w:rFonts w:cs="Arial"/>
              </w:rPr>
              <w:t>child-</w:t>
            </w:r>
            <w:r w:rsidR="00DD4D87" w:rsidRPr="00DD4D87">
              <w:rPr>
                <w:rFonts w:cs="Arial"/>
              </w:rPr>
              <w:t>friendly</w:t>
            </w:r>
            <w:r w:rsidR="00F74848">
              <w:rPr>
                <w:rFonts w:cs="Arial"/>
              </w:rPr>
              <w:t xml:space="preserve">, </w:t>
            </w:r>
            <w:r>
              <w:rPr>
                <w:rFonts w:cs="Arial"/>
              </w:rPr>
              <w:t>women-friendly</w:t>
            </w:r>
            <w:r w:rsidR="001365D5">
              <w:rPr>
                <w:rFonts w:cs="Arial"/>
              </w:rPr>
              <w:t xml:space="preserve">, </w:t>
            </w:r>
            <w:r w:rsidR="00DD4D87">
              <w:rPr>
                <w:rFonts w:cs="Arial"/>
              </w:rPr>
              <w:t xml:space="preserve">district </w:t>
            </w:r>
            <w:r>
              <w:rPr>
                <w:rFonts w:cs="Arial"/>
              </w:rPr>
              <w:t>/</w:t>
            </w:r>
            <w:r w:rsidR="00DD4D87">
              <w:rPr>
                <w:rFonts w:cs="Arial"/>
              </w:rPr>
              <w:t xml:space="preserve"> community</w:t>
            </w:r>
            <w:r w:rsidR="00B44DDC">
              <w:rPr>
                <w:rFonts w:cs="Arial"/>
              </w:rPr>
              <w:t xml:space="preserve"> extension workers, </w:t>
            </w:r>
            <w:r w:rsidR="001365D5">
              <w:rPr>
                <w:rFonts w:cs="Arial"/>
              </w:rPr>
              <w:t xml:space="preserve">rural areas, remote areas, underserved areas, </w:t>
            </w:r>
            <w:r w:rsidR="00B44DDC">
              <w:rPr>
                <w:rFonts w:cs="Arial"/>
              </w:rPr>
              <w:t>pension, insurance</w:t>
            </w:r>
          </w:p>
        </w:tc>
      </w:tr>
      <w:tr w:rsidR="00DD4D87" w:rsidTr="00877DBC">
        <w:trPr>
          <w:trHeight w:val="395"/>
        </w:trPr>
        <w:tc>
          <w:tcPr>
            <w:tcW w:w="1572" w:type="dxa"/>
          </w:tcPr>
          <w:p w:rsidR="00DD4D87" w:rsidRDefault="00C913D5" w:rsidP="00E10790">
            <w:pPr>
              <w:suppressAutoHyphens/>
              <w:spacing w:after="160" w:line="256" w:lineRule="auto"/>
              <w:rPr>
                <w:rFonts w:cs="Arial"/>
                <w:b/>
              </w:rPr>
            </w:pPr>
            <w:r w:rsidRPr="007D7FB3">
              <w:rPr>
                <w:rFonts w:cs="Arial"/>
                <w:b/>
              </w:rPr>
              <w:t>Private sector</w:t>
            </w:r>
            <w:r w:rsidRPr="00381263">
              <w:rPr>
                <w:rFonts w:cs="Arial"/>
              </w:rPr>
              <w:t>:</w:t>
            </w:r>
          </w:p>
        </w:tc>
        <w:tc>
          <w:tcPr>
            <w:tcW w:w="8778" w:type="dxa"/>
          </w:tcPr>
          <w:p w:rsidR="00DD4D87" w:rsidRPr="00DD4D87" w:rsidRDefault="00877DBC" w:rsidP="00E10790">
            <w:pPr>
              <w:suppressAutoHyphens/>
              <w:spacing w:after="160" w:line="256" w:lineRule="auto"/>
              <w:rPr>
                <w:rFonts w:cs="Arial"/>
              </w:rPr>
            </w:pPr>
            <w:r>
              <w:rPr>
                <w:rFonts w:cs="Arial"/>
              </w:rPr>
              <w:t>w</w:t>
            </w:r>
            <w:bookmarkStart w:id="0" w:name="_GoBack"/>
            <w:bookmarkEnd w:id="0"/>
            <w:r>
              <w:rPr>
                <w:rFonts w:cs="Arial"/>
              </w:rPr>
              <w:t xml:space="preserve">omen, </w:t>
            </w:r>
            <w:r w:rsidR="00C913D5" w:rsidRPr="00C913D5">
              <w:rPr>
                <w:rFonts w:cs="Arial"/>
              </w:rPr>
              <w:t>pro-poor, good corporate governance, domestic ori</w:t>
            </w:r>
            <w:r w:rsidR="00C913D5">
              <w:rPr>
                <w:rFonts w:cs="Arial"/>
              </w:rPr>
              <w:t>ented, small-medium enterprises, food fortification, monitoring of BMS, maternity protection, food safety</w:t>
            </w:r>
          </w:p>
        </w:tc>
      </w:tr>
    </w:tbl>
    <w:p w:rsidR="00F74848" w:rsidRDefault="00F74848" w:rsidP="00BD080F">
      <w:pPr>
        <w:jc w:val="both"/>
        <w:rPr>
          <w:b/>
          <w:color w:val="ED7D31" w:themeColor="accent2"/>
          <w:sz w:val="24"/>
          <w:szCs w:val="24"/>
        </w:rPr>
      </w:pPr>
    </w:p>
    <w:p w:rsidR="00BD080F" w:rsidRPr="00F74848" w:rsidRDefault="00BD080F" w:rsidP="00BD080F">
      <w:pPr>
        <w:jc w:val="both"/>
        <w:rPr>
          <w:b/>
          <w:color w:val="ED7D31" w:themeColor="accent2"/>
          <w:sz w:val="24"/>
          <w:szCs w:val="24"/>
        </w:rPr>
      </w:pPr>
      <w:r w:rsidRPr="00F74848">
        <w:rPr>
          <w:b/>
          <w:color w:val="ED7D31" w:themeColor="accent2"/>
          <w:sz w:val="24"/>
          <w:szCs w:val="24"/>
        </w:rPr>
        <w:t xml:space="preserve">Frequently Asked Questions: </w:t>
      </w:r>
    </w:p>
    <w:p w:rsidR="00BD080F" w:rsidRDefault="00BD080F" w:rsidP="00BD080F">
      <w:pPr>
        <w:jc w:val="both"/>
        <w:rPr>
          <w:b/>
          <w:sz w:val="24"/>
          <w:szCs w:val="24"/>
        </w:rPr>
      </w:pPr>
    </w:p>
    <w:p w:rsidR="00BD080F" w:rsidRDefault="00BD080F" w:rsidP="00BD080F">
      <w:pPr>
        <w:pStyle w:val="ListParagraph"/>
        <w:numPr>
          <w:ilvl w:val="0"/>
          <w:numId w:val="14"/>
        </w:numPr>
        <w:jc w:val="both"/>
        <w:rPr>
          <w:rFonts w:asciiTheme="minorHAnsi" w:hAnsiTheme="minorHAnsi"/>
          <w:color w:val="ED7D31" w:themeColor="accent2"/>
          <w:sz w:val="24"/>
          <w:szCs w:val="24"/>
        </w:rPr>
      </w:pPr>
      <w:r w:rsidRPr="00BD080F">
        <w:rPr>
          <w:rFonts w:asciiTheme="minorHAnsi" w:hAnsiTheme="minorHAnsi"/>
          <w:color w:val="ED7D31" w:themeColor="accent2"/>
          <w:sz w:val="24"/>
          <w:szCs w:val="24"/>
        </w:rPr>
        <w:t xml:space="preserve">How do we decide which </w:t>
      </w:r>
      <w:r w:rsidRPr="00BD080F">
        <w:rPr>
          <w:rFonts w:asciiTheme="minorHAnsi" w:hAnsiTheme="minorHAnsi"/>
          <w:b/>
          <w:color w:val="ED7D31" w:themeColor="accent2"/>
          <w:sz w:val="24"/>
          <w:szCs w:val="24"/>
        </w:rPr>
        <w:t>key words</w:t>
      </w:r>
      <w:r w:rsidRPr="00BD080F">
        <w:rPr>
          <w:rFonts w:asciiTheme="minorHAnsi" w:hAnsiTheme="minorHAnsi"/>
          <w:color w:val="ED7D31" w:themeColor="accent2"/>
          <w:sz w:val="24"/>
          <w:szCs w:val="24"/>
        </w:rPr>
        <w:t xml:space="preserve"> to use?</w:t>
      </w:r>
    </w:p>
    <w:p w:rsidR="00BD080F" w:rsidRPr="00BD080F" w:rsidRDefault="00BD080F" w:rsidP="00BD080F">
      <w:pPr>
        <w:pStyle w:val="ListParagraph"/>
        <w:ind w:left="360"/>
        <w:jc w:val="both"/>
        <w:rPr>
          <w:rFonts w:asciiTheme="minorHAnsi" w:hAnsiTheme="minorHAnsi"/>
          <w:color w:val="ED7D31" w:themeColor="accent2"/>
          <w:sz w:val="24"/>
          <w:szCs w:val="24"/>
        </w:rPr>
      </w:pPr>
    </w:p>
    <w:p w:rsidR="00BD080F" w:rsidRDefault="00BD080F" w:rsidP="00BD080F">
      <w:pPr>
        <w:jc w:val="both"/>
        <w:rPr>
          <w:rFonts w:asciiTheme="minorHAnsi" w:hAnsiTheme="minorHAnsi"/>
          <w:i/>
          <w:sz w:val="24"/>
          <w:szCs w:val="24"/>
        </w:rPr>
      </w:pPr>
      <w:r>
        <w:rPr>
          <w:rFonts w:asciiTheme="minorHAnsi" w:hAnsiTheme="minorHAnsi"/>
          <w:i/>
          <w:sz w:val="24"/>
          <w:szCs w:val="24"/>
        </w:rPr>
        <w:t xml:space="preserve">Annex A provides </w:t>
      </w:r>
      <w:r w:rsidRPr="00BD080F">
        <w:rPr>
          <w:rFonts w:asciiTheme="minorHAnsi" w:hAnsiTheme="minorHAnsi"/>
          <w:i/>
          <w:sz w:val="24"/>
          <w:szCs w:val="24"/>
        </w:rPr>
        <w:t xml:space="preserve">a preliminary list of ‘key words’ based on international experience and literature (e.g. </w:t>
      </w:r>
      <w:proofErr w:type="spellStart"/>
      <w:r w:rsidRPr="00BD080F">
        <w:rPr>
          <w:rFonts w:asciiTheme="minorHAnsi" w:hAnsiTheme="minorHAnsi"/>
          <w:i/>
          <w:sz w:val="24"/>
          <w:szCs w:val="24"/>
        </w:rPr>
        <w:t>Geir</w:t>
      </w:r>
      <w:proofErr w:type="spellEnd"/>
      <w:r w:rsidRPr="00BD080F">
        <w:rPr>
          <w:rFonts w:asciiTheme="minorHAnsi" w:hAnsiTheme="minorHAnsi"/>
          <w:i/>
          <w:sz w:val="24"/>
          <w:szCs w:val="24"/>
        </w:rPr>
        <w:t xml:space="preserve"> et al., SUN Donor Financial Tracking methodology, 2013 Lancet Series, 2010 SUN Framework of Actions, WHA Global Monitoring Framework). This </w:t>
      </w:r>
      <w:r w:rsidRPr="00BD080F">
        <w:rPr>
          <w:rFonts w:asciiTheme="minorHAnsi" w:hAnsiTheme="minorHAnsi"/>
          <w:b/>
          <w:i/>
          <w:sz w:val="24"/>
          <w:szCs w:val="24"/>
        </w:rPr>
        <w:t xml:space="preserve">list </w:t>
      </w:r>
      <w:r>
        <w:rPr>
          <w:rFonts w:asciiTheme="minorHAnsi" w:hAnsiTheme="minorHAnsi"/>
          <w:b/>
          <w:i/>
          <w:sz w:val="24"/>
          <w:szCs w:val="24"/>
        </w:rPr>
        <w:t xml:space="preserve">should </w:t>
      </w:r>
      <w:r w:rsidRPr="00BD080F">
        <w:rPr>
          <w:rFonts w:asciiTheme="minorHAnsi" w:hAnsiTheme="minorHAnsi"/>
          <w:b/>
          <w:i/>
          <w:sz w:val="24"/>
          <w:szCs w:val="24"/>
        </w:rPr>
        <w:t>be adapted</w:t>
      </w:r>
      <w:r w:rsidRPr="00BD080F">
        <w:rPr>
          <w:rFonts w:asciiTheme="minorHAnsi" w:hAnsiTheme="minorHAnsi"/>
          <w:i/>
          <w:sz w:val="24"/>
          <w:szCs w:val="24"/>
        </w:rPr>
        <w:t xml:space="preserve"> by country based on their national nutrition plan or, where available, common results framework.  </w:t>
      </w:r>
    </w:p>
    <w:p w:rsidR="00BD080F" w:rsidRPr="00BD080F" w:rsidRDefault="00BD080F" w:rsidP="00BD080F">
      <w:pPr>
        <w:jc w:val="both"/>
        <w:rPr>
          <w:rFonts w:asciiTheme="minorHAnsi" w:hAnsiTheme="minorHAnsi"/>
          <w:i/>
          <w:sz w:val="24"/>
          <w:szCs w:val="24"/>
        </w:rPr>
      </w:pPr>
    </w:p>
    <w:p w:rsidR="00BD080F" w:rsidRPr="00BD080F" w:rsidRDefault="00BD080F" w:rsidP="00BD080F">
      <w:pPr>
        <w:pStyle w:val="ListParagraph"/>
        <w:numPr>
          <w:ilvl w:val="0"/>
          <w:numId w:val="18"/>
        </w:numPr>
        <w:spacing w:after="240" w:line="276" w:lineRule="atLeast"/>
        <w:contextualSpacing w:val="0"/>
        <w:jc w:val="both"/>
        <w:rPr>
          <w:rFonts w:asciiTheme="minorHAnsi" w:hAnsiTheme="minorHAnsi"/>
          <w:color w:val="ED7D31" w:themeColor="accent2"/>
          <w:sz w:val="24"/>
          <w:szCs w:val="24"/>
        </w:rPr>
      </w:pPr>
      <w:r w:rsidRPr="00BD080F">
        <w:rPr>
          <w:rFonts w:asciiTheme="minorHAnsi" w:hAnsiTheme="minorHAnsi"/>
          <w:color w:val="ED7D31" w:themeColor="accent2"/>
          <w:sz w:val="24"/>
          <w:szCs w:val="24"/>
        </w:rPr>
        <w:t xml:space="preserve">The </w:t>
      </w:r>
      <w:r w:rsidRPr="00BD080F">
        <w:rPr>
          <w:rFonts w:asciiTheme="minorHAnsi" w:hAnsiTheme="minorHAnsi"/>
          <w:b/>
          <w:color w:val="ED7D31" w:themeColor="accent2"/>
          <w:sz w:val="24"/>
          <w:szCs w:val="24"/>
        </w:rPr>
        <w:t>structure of the budget</w:t>
      </w:r>
      <w:r w:rsidRPr="00BD080F">
        <w:rPr>
          <w:rFonts w:asciiTheme="minorHAnsi" w:hAnsiTheme="minorHAnsi"/>
          <w:color w:val="ED7D31" w:themeColor="accent2"/>
          <w:sz w:val="24"/>
          <w:szCs w:val="24"/>
        </w:rPr>
        <w:t xml:space="preserve"> does not contain the necessary detail. For example, in some cases it shows only allocations by department and not by programme and there are no details on description of allocations. </w:t>
      </w:r>
    </w:p>
    <w:p w:rsidR="00BD080F" w:rsidRPr="00BD080F" w:rsidRDefault="00BD080F" w:rsidP="00BD080F">
      <w:pPr>
        <w:jc w:val="both"/>
        <w:rPr>
          <w:rFonts w:asciiTheme="minorHAnsi" w:hAnsiTheme="minorHAnsi"/>
          <w:i/>
          <w:sz w:val="24"/>
          <w:szCs w:val="24"/>
        </w:rPr>
      </w:pPr>
      <w:r w:rsidRPr="00BD080F">
        <w:rPr>
          <w:rFonts w:asciiTheme="minorHAnsi" w:hAnsiTheme="minorHAnsi"/>
          <w:i/>
          <w:sz w:val="24"/>
          <w:szCs w:val="24"/>
        </w:rPr>
        <w:t xml:space="preserve">The tool is flexible and column B can be completed with names of departments instead of names of programmes. Similarly, if the budget does not provide details on the description of the programme or department, the column can be left blank. The important thing is to </w:t>
      </w:r>
      <w:r w:rsidRPr="00BD080F">
        <w:rPr>
          <w:rFonts w:asciiTheme="minorHAnsi" w:hAnsiTheme="minorHAnsi"/>
          <w:b/>
          <w:i/>
          <w:sz w:val="24"/>
          <w:szCs w:val="24"/>
        </w:rPr>
        <w:t>identify the execution agency and by extension the person in charge</w:t>
      </w:r>
      <w:r w:rsidRPr="00BD080F">
        <w:rPr>
          <w:rFonts w:asciiTheme="minorHAnsi" w:hAnsiTheme="minorHAnsi"/>
          <w:i/>
          <w:sz w:val="24"/>
          <w:szCs w:val="24"/>
        </w:rPr>
        <w:t xml:space="preserve"> so that you can contact them and get the necessary details. For example, if you know that the department of basic health services must contain some nutrition relevant </w:t>
      </w:r>
      <w:r>
        <w:rPr>
          <w:rFonts w:asciiTheme="minorHAnsi" w:hAnsiTheme="minorHAnsi"/>
          <w:i/>
          <w:sz w:val="24"/>
          <w:szCs w:val="24"/>
        </w:rPr>
        <w:t>budget allocations</w:t>
      </w:r>
      <w:r w:rsidRPr="00BD080F">
        <w:rPr>
          <w:rFonts w:asciiTheme="minorHAnsi" w:hAnsiTheme="minorHAnsi"/>
          <w:i/>
          <w:sz w:val="24"/>
          <w:szCs w:val="24"/>
        </w:rPr>
        <w:t xml:space="preserve">, you can approach them to provide you details on what they are doing so you can make a decision on the inclusion and the weighting of those expenditures. </w:t>
      </w:r>
    </w:p>
    <w:p w:rsidR="00C779D3" w:rsidRPr="00272BBC" w:rsidRDefault="00C779D3" w:rsidP="00272BBC">
      <w:pPr>
        <w:suppressAutoHyphens/>
        <w:spacing w:after="160" w:line="256" w:lineRule="auto"/>
        <w:jc w:val="both"/>
        <w:rPr>
          <w:rFonts w:cs="Arial"/>
        </w:rPr>
      </w:pPr>
    </w:p>
    <w:p w:rsidR="00C779D3" w:rsidRPr="00C779D3" w:rsidRDefault="00C779D3">
      <w:pPr>
        <w:rPr>
          <w:b/>
        </w:rPr>
      </w:pPr>
    </w:p>
    <w:p w:rsidR="00C779D3" w:rsidRDefault="00C779D3"/>
    <w:sectPr w:rsidR="00C779D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3B2" w:rsidRDefault="000643B2" w:rsidP="007C045C">
      <w:r>
        <w:separator/>
      </w:r>
    </w:p>
  </w:endnote>
  <w:endnote w:type="continuationSeparator" w:id="0">
    <w:p w:rsidR="000643B2" w:rsidRDefault="000643B2" w:rsidP="007C0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9449755"/>
      <w:docPartObj>
        <w:docPartGallery w:val="Page Numbers (Bottom of Page)"/>
        <w:docPartUnique/>
      </w:docPartObj>
    </w:sdtPr>
    <w:sdtEndPr>
      <w:rPr>
        <w:noProof/>
      </w:rPr>
    </w:sdtEndPr>
    <w:sdtContent>
      <w:p w:rsidR="00272BBC" w:rsidRDefault="00272BBC">
        <w:pPr>
          <w:pStyle w:val="Footer"/>
          <w:jc w:val="right"/>
        </w:pPr>
        <w:r>
          <w:fldChar w:fldCharType="begin"/>
        </w:r>
        <w:r>
          <w:instrText xml:space="preserve"> PAGE   \* MERGEFORMAT </w:instrText>
        </w:r>
        <w:r>
          <w:fldChar w:fldCharType="separate"/>
        </w:r>
        <w:r w:rsidR="00877DBC">
          <w:rPr>
            <w:noProof/>
          </w:rPr>
          <w:t>4</w:t>
        </w:r>
        <w:r>
          <w:rPr>
            <w:noProof/>
          </w:rPr>
          <w:fldChar w:fldCharType="end"/>
        </w:r>
      </w:p>
    </w:sdtContent>
  </w:sdt>
  <w:p w:rsidR="00272BBC" w:rsidRDefault="00272B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3B2" w:rsidRDefault="000643B2" w:rsidP="007C045C">
      <w:r>
        <w:separator/>
      </w:r>
    </w:p>
  </w:footnote>
  <w:footnote w:type="continuationSeparator" w:id="0">
    <w:p w:rsidR="000643B2" w:rsidRDefault="000643B2" w:rsidP="007C045C">
      <w:r>
        <w:continuationSeparator/>
      </w:r>
    </w:p>
  </w:footnote>
  <w:footnote w:id="1">
    <w:p w:rsidR="00EC2647" w:rsidRPr="00C913D5" w:rsidRDefault="00EC2647" w:rsidP="00EC2647">
      <w:pPr>
        <w:pStyle w:val="FootnoteText"/>
        <w:rPr>
          <w:sz w:val="18"/>
          <w:szCs w:val="18"/>
        </w:rPr>
      </w:pPr>
      <w:r>
        <w:rPr>
          <w:rStyle w:val="FootnoteReference"/>
        </w:rPr>
        <w:footnoteRef/>
      </w:r>
      <w:r>
        <w:t xml:space="preserve"> </w:t>
      </w:r>
      <w:r w:rsidRPr="00C913D5">
        <w:rPr>
          <w:sz w:val="18"/>
          <w:szCs w:val="18"/>
        </w:rPr>
        <w:t xml:space="preserve">Reference Picanyol and </w:t>
      </w:r>
      <w:proofErr w:type="spellStart"/>
      <w:r w:rsidRPr="00C913D5">
        <w:rPr>
          <w:sz w:val="18"/>
          <w:szCs w:val="18"/>
        </w:rPr>
        <w:t>Misgar</w:t>
      </w:r>
      <w:proofErr w:type="spellEnd"/>
      <w:r w:rsidRPr="00C913D5">
        <w:rPr>
          <w:sz w:val="18"/>
          <w:szCs w:val="18"/>
        </w:rPr>
        <w:t>, 2014.</w:t>
      </w:r>
    </w:p>
  </w:footnote>
  <w:footnote w:id="2">
    <w:p w:rsidR="003F3C10" w:rsidRPr="003E32CB" w:rsidRDefault="003F3C10" w:rsidP="003E32CB">
      <w:pPr>
        <w:pStyle w:val="FootnoteText"/>
        <w:spacing w:after="0"/>
        <w:rPr>
          <w:rFonts w:asciiTheme="minorHAnsi" w:hAnsiTheme="minorHAnsi"/>
        </w:rPr>
      </w:pPr>
      <w:r w:rsidRPr="003E32CB">
        <w:rPr>
          <w:rStyle w:val="FootnoteReference"/>
          <w:rFonts w:asciiTheme="minorHAnsi" w:hAnsiTheme="minorHAnsi"/>
        </w:rPr>
        <w:footnoteRef/>
      </w:r>
      <w:r w:rsidRPr="003E32CB">
        <w:rPr>
          <w:rFonts w:asciiTheme="minorHAnsi" w:hAnsiTheme="minorHAnsi"/>
        </w:rPr>
        <w:t xml:space="preserve"> </w:t>
      </w:r>
      <w:r w:rsidR="003E32CB">
        <w:rPr>
          <w:rFonts w:asciiTheme="minorHAnsi" w:hAnsiTheme="minorHAnsi"/>
        </w:rPr>
        <w:t>The</w:t>
      </w:r>
      <w:r w:rsidRPr="003E32CB">
        <w:rPr>
          <w:rFonts w:asciiTheme="minorHAnsi" w:hAnsiTheme="minorHAnsi"/>
        </w:rPr>
        <w:t xml:space="preserve"> list o</w:t>
      </w:r>
      <w:r w:rsidR="003E32CB">
        <w:rPr>
          <w:rFonts w:asciiTheme="minorHAnsi" w:hAnsiTheme="minorHAnsi"/>
        </w:rPr>
        <w:t>f key words in Annex A is meant to be an ‘example’</w:t>
      </w:r>
      <w:r w:rsidRPr="003E32CB">
        <w:rPr>
          <w:rFonts w:asciiTheme="minorHAnsi" w:hAnsiTheme="minorHAnsi"/>
        </w:rPr>
        <w:t xml:space="preserve">. </w:t>
      </w:r>
    </w:p>
  </w:footnote>
  <w:footnote w:id="3">
    <w:p w:rsidR="003F3C10" w:rsidRDefault="003F3C10" w:rsidP="003F3C10">
      <w:pPr>
        <w:pStyle w:val="FootnoteText"/>
      </w:pPr>
      <w:r w:rsidRPr="00800DFC">
        <w:rPr>
          <w:rStyle w:val="FootnoteReference"/>
          <w:sz w:val="16"/>
          <w:szCs w:val="16"/>
        </w:rPr>
        <w:footnoteRef/>
      </w:r>
      <w:r w:rsidRPr="00800DFC">
        <w:rPr>
          <w:sz w:val="16"/>
          <w:szCs w:val="16"/>
        </w:rPr>
        <w:t xml:space="preserve"> This is consistent with the attribution agreed by the Donor Network for programmes categorized under ‘nutrition-sensitive’.</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B205A"/>
    <w:multiLevelType w:val="multilevel"/>
    <w:tmpl w:val="AF84C79C"/>
    <w:lvl w:ilvl="0">
      <w:start w:val="1"/>
      <w:numFmt w:val="decimal"/>
      <w:lvlText w:val="%1."/>
      <w:lvlJc w:val="left"/>
      <w:pPr>
        <w:ind w:left="360" w:hanging="360"/>
      </w:pPr>
    </w:lvl>
    <w:lvl w:ilvl="1">
      <w:start w:val="1"/>
      <w:numFmt w:val="bullet"/>
      <w:lvlText w:val=""/>
      <w:lvlJc w:val="left"/>
      <w:pPr>
        <w:ind w:left="1080" w:hanging="360"/>
      </w:pPr>
      <w:rPr>
        <w:rFonts w:ascii="Symbol" w:hAnsi="Symbol" w:cs="Symbol" w:hint="default"/>
      </w:r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7A16A74"/>
    <w:multiLevelType w:val="hybridMultilevel"/>
    <w:tmpl w:val="501473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0F5F68F3"/>
    <w:multiLevelType w:val="hybridMultilevel"/>
    <w:tmpl w:val="355A0A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1BE5BDA"/>
    <w:multiLevelType w:val="hybridMultilevel"/>
    <w:tmpl w:val="E77CFC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1C147E3"/>
    <w:multiLevelType w:val="hybridMultilevel"/>
    <w:tmpl w:val="0EC62CE6"/>
    <w:lvl w:ilvl="0" w:tplc="0409000F">
      <w:start w:val="1"/>
      <w:numFmt w:val="decimal"/>
      <w:lvlText w:val="%1."/>
      <w:lvlJc w:val="left"/>
      <w:pPr>
        <w:ind w:left="360" w:hanging="360"/>
      </w:pPr>
      <w:rPr>
        <w:rFonts w:hint="default"/>
      </w:rPr>
    </w:lvl>
    <w:lvl w:ilvl="1" w:tplc="C5BEA386">
      <w:numFmt w:val="bullet"/>
      <w:lvlText w:val="•"/>
      <w:lvlJc w:val="left"/>
      <w:pPr>
        <w:ind w:left="1080" w:hanging="360"/>
      </w:pPr>
      <w:rPr>
        <w:rFonts w:ascii="Arial" w:eastAsia="Times New Roman"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2836289"/>
    <w:multiLevelType w:val="hybridMultilevel"/>
    <w:tmpl w:val="BC744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A0780E"/>
    <w:multiLevelType w:val="hybridMultilevel"/>
    <w:tmpl w:val="F4A4C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D42C4D"/>
    <w:multiLevelType w:val="multilevel"/>
    <w:tmpl w:val="06346918"/>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nsid w:val="23FC39FE"/>
    <w:multiLevelType w:val="hybridMultilevel"/>
    <w:tmpl w:val="B1D0EB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5492D98"/>
    <w:multiLevelType w:val="hybridMultilevel"/>
    <w:tmpl w:val="D2D6E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3D1C80"/>
    <w:multiLevelType w:val="hybridMultilevel"/>
    <w:tmpl w:val="0A525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A308E3"/>
    <w:multiLevelType w:val="hybridMultilevel"/>
    <w:tmpl w:val="38021A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4A35C9F"/>
    <w:multiLevelType w:val="hybridMultilevel"/>
    <w:tmpl w:val="11C89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F1133A"/>
    <w:multiLevelType w:val="multilevel"/>
    <w:tmpl w:val="9F668052"/>
    <w:lvl w:ilvl="0">
      <w:start w:val="1"/>
      <w:numFmt w:val="decimal"/>
      <w:lvlText w:val="%1."/>
      <w:lvlJc w:val="left"/>
      <w:pPr>
        <w:ind w:left="360" w:hanging="360"/>
      </w:pPr>
    </w:lvl>
    <w:lvl w:ilvl="1">
      <w:start w:val="1"/>
      <w:numFmt w:val="bullet"/>
      <w:lvlText w:val=""/>
      <w:lvlJc w:val="left"/>
      <w:pPr>
        <w:ind w:left="1080" w:hanging="360"/>
      </w:pPr>
      <w:rPr>
        <w:rFonts w:ascii="Symbol" w:hAnsi="Symbol" w:cs="Symbol" w:hint="default"/>
      </w:r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4A281B83"/>
    <w:multiLevelType w:val="hybridMultilevel"/>
    <w:tmpl w:val="44D4E316"/>
    <w:lvl w:ilvl="0" w:tplc="04090001">
      <w:start w:val="1"/>
      <w:numFmt w:val="bullet"/>
      <w:lvlText w:val=""/>
      <w:lvlJc w:val="left"/>
      <w:pPr>
        <w:ind w:left="360" w:hanging="360"/>
      </w:pPr>
      <w:rPr>
        <w:rFonts w:ascii="Symbol" w:hAnsi="Symbol" w:hint="default"/>
      </w:rPr>
    </w:lvl>
    <w:lvl w:ilvl="1" w:tplc="C5BEA386">
      <w:numFmt w:val="bullet"/>
      <w:lvlText w:val="•"/>
      <w:lvlJc w:val="left"/>
      <w:pPr>
        <w:ind w:left="1080" w:hanging="360"/>
      </w:pPr>
      <w:rPr>
        <w:rFonts w:ascii="Arial" w:eastAsia="Times New Roman"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8782214"/>
    <w:multiLevelType w:val="hybridMultilevel"/>
    <w:tmpl w:val="22E073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883299B"/>
    <w:multiLevelType w:val="hybridMultilevel"/>
    <w:tmpl w:val="D69485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61D752F"/>
    <w:multiLevelType w:val="hybridMultilevel"/>
    <w:tmpl w:val="DD047140"/>
    <w:lvl w:ilvl="0" w:tplc="04090001">
      <w:start w:val="1"/>
      <w:numFmt w:val="bullet"/>
      <w:lvlText w:val=""/>
      <w:lvlJc w:val="left"/>
      <w:pPr>
        <w:ind w:left="360" w:hanging="360"/>
      </w:pPr>
      <w:rPr>
        <w:rFonts w:ascii="Symbol" w:hAnsi="Symbol" w:hint="default"/>
      </w:rPr>
    </w:lvl>
    <w:lvl w:ilvl="1" w:tplc="C5BEA386">
      <w:numFmt w:val="bullet"/>
      <w:lvlText w:val="•"/>
      <w:lvlJc w:val="left"/>
      <w:pPr>
        <w:ind w:left="1080" w:hanging="360"/>
      </w:pPr>
      <w:rPr>
        <w:rFonts w:ascii="Arial" w:eastAsia="Times New Roman"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6"/>
  </w:num>
  <w:num w:numId="3">
    <w:abstractNumId w:val="7"/>
  </w:num>
  <w:num w:numId="4">
    <w:abstractNumId w:val="9"/>
  </w:num>
  <w:num w:numId="5">
    <w:abstractNumId w:val="3"/>
  </w:num>
  <w:num w:numId="6">
    <w:abstractNumId w:val="5"/>
  </w:num>
  <w:num w:numId="7">
    <w:abstractNumId w:val="12"/>
  </w:num>
  <w:num w:numId="8">
    <w:abstractNumId w:val="10"/>
  </w:num>
  <w:num w:numId="9">
    <w:abstractNumId w:val="2"/>
  </w:num>
  <w:num w:numId="10">
    <w:abstractNumId w:val="17"/>
  </w:num>
  <w:num w:numId="11">
    <w:abstractNumId w:val="13"/>
  </w:num>
  <w:num w:numId="12">
    <w:abstractNumId w:val="0"/>
  </w:num>
  <w:num w:numId="13">
    <w:abstractNumId w:val="14"/>
  </w:num>
  <w:num w:numId="14">
    <w:abstractNumId w:val="8"/>
  </w:num>
  <w:num w:numId="15">
    <w:abstractNumId w:val="1"/>
  </w:num>
  <w:num w:numId="16">
    <w:abstractNumId w:val="11"/>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56B"/>
    <w:rsid w:val="00026592"/>
    <w:rsid w:val="000643B2"/>
    <w:rsid w:val="000B4245"/>
    <w:rsid w:val="000D350B"/>
    <w:rsid w:val="000F6C87"/>
    <w:rsid w:val="00103862"/>
    <w:rsid w:val="00126277"/>
    <w:rsid w:val="00135A59"/>
    <w:rsid w:val="001365D5"/>
    <w:rsid w:val="001732BD"/>
    <w:rsid w:val="0021256B"/>
    <w:rsid w:val="00272BBC"/>
    <w:rsid w:val="002C56A1"/>
    <w:rsid w:val="002D0831"/>
    <w:rsid w:val="002E0F96"/>
    <w:rsid w:val="002E3229"/>
    <w:rsid w:val="00323671"/>
    <w:rsid w:val="003E32CB"/>
    <w:rsid w:val="003F3C10"/>
    <w:rsid w:val="00443D78"/>
    <w:rsid w:val="004707F1"/>
    <w:rsid w:val="00490108"/>
    <w:rsid w:val="004A02B8"/>
    <w:rsid w:val="004A79F4"/>
    <w:rsid w:val="005C6C0A"/>
    <w:rsid w:val="00603E7F"/>
    <w:rsid w:val="0067286F"/>
    <w:rsid w:val="00773FA2"/>
    <w:rsid w:val="007C045C"/>
    <w:rsid w:val="007D1000"/>
    <w:rsid w:val="00801854"/>
    <w:rsid w:val="00877DBC"/>
    <w:rsid w:val="00A13D6F"/>
    <w:rsid w:val="00A73F2C"/>
    <w:rsid w:val="00AC695F"/>
    <w:rsid w:val="00AF7885"/>
    <w:rsid w:val="00B44DDC"/>
    <w:rsid w:val="00B47B4D"/>
    <w:rsid w:val="00B63ED0"/>
    <w:rsid w:val="00BB6F3F"/>
    <w:rsid w:val="00BD080F"/>
    <w:rsid w:val="00BD3B6B"/>
    <w:rsid w:val="00C73554"/>
    <w:rsid w:val="00C779D3"/>
    <w:rsid w:val="00C913D5"/>
    <w:rsid w:val="00CD284F"/>
    <w:rsid w:val="00CF0509"/>
    <w:rsid w:val="00D0269F"/>
    <w:rsid w:val="00D51C6B"/>
    <w:rsid w:val="00D7320C"/>
    <w:rsid w:val="00D73796"/>
    <w:rsid w:val="00DD4D87"/>
    <w:rsid w:val="00E10790"/>
    <w:rsid w:val="00E957EB"/>
    <w:rsid w:val="00EC2647"/>
    <w:rsid w:val="00EC42E3"/>
    <w:rsid w:val="00F361DA"/>
    <w:rsid w:val="00F74848"/>
    <w:rsid w:val="00F75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2DAF85-FF1C-43B0-989F-1F5E580F0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56B"/>
    <w:pPr>
      <w:spacing w:after="0" w:line="240" w:lineRule="auto"/>
    </w:pPr>
    <w:rPr>
      <w:rFonts w:ascii="Arial" w:eastAsia="Times New Roman" w:hAnsi="Arial" w:cs="Times New Roman"/>
      <w:szCs w:val="20"/>
      <w:lang w:val="en-GB"/>
    </w:rPr>
  </w:style>
  <w:style w:type="paragraph" w:styleId="Heading3">
    <w:name w:val="heading 3"/>
    <w:basedOn w:val="Normal"/>
    <w:next w:val="Normal"/>
    <w:link w:val="Heading3Char"/>
    <w:uiPriority w:val="9"/>
    <w:unhideWhenUsed/>
    <w:qFormat/>
    <w:rsid w:val="00126277"/>
    <w:pPr>
      <w:keepNext/>
      <w:keepLines/>
      <w:spacing w:before="40" w:line="259" w:lineRule="auto"/>
      <w:outlineLvl w:val="2"/>
    </w:pPr>
    <w:rPr>
      <w:rFonts w:asciiTheme="majorHAnsi" w:eastAsiaTheme="majorEastAsia" w:hAnsiTheme="majorHAnsi" w:cstheme="majorBidi"/>
      <w:color w:val="1F4D78"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aliases w:val="OPM,Body text,Body text Char Char"/>
    <w:basedOn w:val="Normal"/>
    <w:link w:val="BodytextChar"/>
    <w:qFormat/>
    <w:rsid w:val="002E3229"/>
    <w:pPr>
      <w:spacing w:after="240"/>
      <w:jc w:val="both"/>
    </w:pPr>
  </w:style>
  <w:style w:type="character" w:customStyle="1" w:styleId="BodytextChar">
    <w:name w:val="Body text Char"/>
    <w:aliases w:val="OPM Char"/>
    <w:link w:val="BodyText1"/>
    <w:rsid w:val="002E3229"/>
    <w:rPr>
      <w:rFonts w:ascii="Arial" w:eastAsia="Times New Roman" w:hAnsi="Arial" w:cs="Times New Roman"/>
      <w:szCs w:val="20"/>
      <w:lang w:val="en-GB"/>
    </w:rPr>
  </w:style>
  <w:style w:type="paragraph" w:styleId="FootnoteText">
    <w:name w:val="footnote text"/>
    <w:aliases w:val="f,single space,FOOTNOTES,fn,Footnote Text Char Char Char Char,Footnote Text Char Char Char,footnote text,ADB,Footnote Text Char Char Char Char Char,Footnote Text Char Char1,Footnote Text Char Char Char Char Char Char Cha,Geneva 9,Boston 10"/>
    <w:basedOn w:val="Normal"/>
    <w:link w:val="FootnoteTextChar"/>
    <w:rsid w:val="007C045C"/>
    <w:pPr>
      <w:spacing w:after="120"/>
      <w:jc w:val="both"/>
    </w:pPr>
    <w:rPr>
      <w:sz w:val="20"/>
    </w:rPr>
  </w:style>
  <w:style w:type="character" w:customStyle="1" w:styleId="FootnoteTextChar">
    <w:name w:val="Footnote Text Char"/>
    <w:aliases w:val="f Char,single space Char,FOOTNOTES Char,fn Char,Footnote Text Char Char Char Char Char1,Footnote Text Char Char Char Char1,footnote text Char,ADB Char,Footnote Text Char Char Char Char Char Char,Footnote Text Char Char1 Char"/>
    <w:basedOn w:val="DefaultParagraphFont"/>
    <w:link w:val="FootnoteText"/>
    <w:rsid w:val="007C045C"/>
    <w:rPr>
      <w:rFonts w:ascii="Arial" w:eastAsia="Times New Roman" w:hAnsi="Arial" w:cs="Times New Roman"/>
      <w:sz w:val="20"/>
      <w:szCs w:val="20"/>
      <w:lang w:val="en-GB"/>
    </w:rPr>
  </w:style>
  <w:style w:type="character" w:styleId="FootnoteReference">
    <w:name w:val="footnote reference"/>
    <w:aliases w:val="ftref,Normal + Font:9 Point,Superscript 3 Point Times,16 Point,Superscript 6 Point,Знак сноски 1,CAF Footnote Reference,Footnote  superscript,Footnote Ref,BVI fnr Char Char,BVI fnr Car Car Char Char,BVI fnr Car Char Char,BVI fnr"/>
    <w:basedOn w:val="DefaultParagraphFont"/>
    <w:link w:val="BVIfnrChar"/>
    <w:rsid w:val="007C045C"/>
    <w:rPr>
      <w:vertAlign w:val="superscript"/>
    </w:rPr>
  </w:style>
  <w:style w:type="paragraph" w:styleId="ListParagraph">
    <w:name w:val="List Paragraph"/>
    <w:aliases w:val="MCHIP_list paragraph,List Paragraph1,Recommendation"/>
    <w:basedOn w:val="Normal"/>
    <w:link w:val="ListParagraphChar"/>
    <w:uiPriority w:val="34"/>
    <w:qFormat/>
    <w:rsid w:val="00A13D6F"/>
    <w:pPr>
      <w:ind w:left="720"/>
      <w:contextualSpacing/>
    </w:pPr>
  </w:style>
  <w:style w:type="character" w:customStyle="1" w:styleId="ListParagraphChar">
    <w:name w:val="List Paragraph Char"/>
    <w:aliases w:val="MCHIP_list paragraph Char,List Paragraph1 Char,Recommendation Char"/>
    <w:basedOn w:val="DefaultParagraphFont"/>
    <w:link w:val="ListParagraph"/>
    <w:uiPriority w:val="34"/>
    <w:locked/>
    <w:rsid w:val="000F6C87"/>
    <w:rPr>
      <w:rFonts w:ascii="Arial" w:eastAsia="Times New Roman" w:hAnsi="Arial" w:cs="Times New Roman"/>
      <w:szCs w:val="20"/>
      <w:lang w:val="en-GB"/>
    </w:rPr>
  </w:style>
  <w:style w:type="character" w:customStyle="1" w:styleId="Heading3Char">
    <w:name w:val="Heading 3 Char"/>
    <w:basedOn w:val="DefaultParagraphFont"/>
    <w:link w:val="Heading3"/>
    <w:uiPriority w:val="9"/>
    <w:rsid w:val="00126277"/>
    <w:rPr>
      <w:rFonts w:asciiTheme="majorHAnsi" w:eastAsiaTheme="majorEastAsia" w:hAnsiTheme="majorHAnsi" w:cstheme="majorBidi"/>
      <w:color w:val="1F4D78" w:themeColor="accent1" w:themeShade="7F"/>
      <w:sz w:val="24"/>
      <w:szCs w:val="24"/>
    </w:rPr>
  </w:style>
  <w:style w:type="paragraph" w:customStyle="1" w:styleId="BVIfnrChar">
    <w:name w:val="BVI fnr Char"/>
    <w:aliases w:val="BVI fnr Car Car Char,BVI fnr Car Char,BVI fnr Car Car Car Car Char Char,BVI fnr Car Car Car Car Char Char Char Char Char Char Char Char Char"/>
    <w:basedOn w:val="Normal"/>
    <w:link w:val="FootnoteReference"/>
    <w:uiPriority w:val="99"/>
    <w:rsid w:val="00126277"/>
    <w:pPr>
      <w:spacing w:before="120" w:after="160" w:line="240" w:lineRule="exact"/>
      <w:ind w:left="432"/>
    </w:pPr>
    <w:rPr>
      <w:rFonts w:asciiTheme="minorHAnsi" w:eastAsiaTheme="minorHAnsi" w:hAnsiTheme="minorHAnsi" w:cstheme="minorBidi"/>
      <w:szCs w:val="22"/>
      <w:vertAlign w:val="superscript"/>
      <w:lang w:val="en-US"/>
    </w:rPr>
  </w:style>
  <w:style w:type="table" w:styleId="TableGrid">
    <w:name w:val="Table Grid"/>
    <w:basedOn w:val="TableNormal"/>
    <w:rsid w:val="00272BBC"/>
    <w:pPr>
      <w:spacing w:after="0" w:line="240" w:lineRule="auto"/>
      <w:jc w:val="both"/>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72BBC"/>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Header">
    <w:name w:val="header"/>
    <w:basedOn w:val="Normal"/>
    <w:link w:val="HeaderChar"/>
    <w:uiPriority w:val="99"/>
    <w:unhideWhenUsed/>
    <w:rsid w:val="00272BBC"/>
    <w:pPr>
      <w:tabs>
        <w:tab w:val="center" w:pos="4680"/>
        <w:tab w:val="right" w:pos="9360"/>
      </w:tabs>
    </w:pPr>
  </w:style>
  <w:style w:type="character" w:customStyle="1" w:styleId="HeaderChar">
    <w:name w:val="Header Char"/>
    <w:basedOn w:val="DefaultParagraphFont"/>
    <w:link w:val="Header"/>
    <w:uiPriority w:val="99"/>
    <w:rsid w:val="00272BBC"/>
    <w:rPr>
      <w:rFonts w:ascii="Arial" w:eastAsia="Times New Roman" w:hAnsi="Arial" w:cs="Times New Roman"/>
      <w:szCs w:val="20"/>
      <w:lang w:val="en-GB"/>
    </w:rPr>
  </w:style>
  <w:style w:type="paragraph" w:styleId="Footer">
    <w:name w:val="footer"/>
    <w:basedOn w:val="Normal"/>
    <w:link w:val="FooterChar"/>
    <w:uiPriority w:val="99"/>
    <w:unhideWhenUsed/>
    <w:rsid w:val="00272BBC"/>
    <w:pPr>
      <w:tabs>
        <w:tab w:val="center" w:pos="4680"/>
        <w:tab w:val="right" w:pos="9360"/>
      </w:tabs>
    </w:pPr>
  </w:style>
  <w:style w:type="character" w:customStyle="1" w:styleId="FooterChar">
    <w:name w:val="Footer Char"/>
    <w:basedOn w:val="DefaultParagraphFont"/>
    <w:link w:val="Footer"/>
    <w:uiPriority w:val="99"/>
    <w:rsid w:val="00272BBC"/>
    <w:rPr>
      <w:rFonts w:ascii="Arial" w:eastAsia="Times New Roman" w:hAnsi="Arial"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26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841C0-0B95-4614-82EE-7F2DB4AA1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4</Pages>
  <Words>1353</Words>
  <Characters>7714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dc:creator>
  <cp:keywords/>
  <dc:description/>
  <cp:lastModifiedBy>Pat</cp:lastModifiedBy>
  <cp:revision>30</cp:revision>
  <dcterms:created xsi:type="dcterms:W3CDTF">2014-06-23T08:46:00Z</dcterms:created>
  <dcterms:modified xsi:type="dcterms:W3CDTF">2015-01-30T12:24:00Z</dcterms:modified>
</cp:coreProperties>
</file>