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145A0" w14:textId="402D7A96" w:rsidR="00A672D6" w:rsidRPr="00E634A5" w:rsidRDefault="000B6090" w:rsidP="007E0966">
      <w:pPr>
        <w:spacing w:after="0" w:line="240" w:lineRule="auto"/>
        <w:rPr>
          <w:rFonts w:ascii="Times New Roman" w:hAnsi="Times New Roman" w:cs="Times New Roman"/>
          <w:b/>
          <w:i/>
          <w:lang w:val="fr-FR"/>
        </w:rPr>
      </w:pPr>
      <w:r w:rsidRPr="00E634A5">
        <w:rPr>
          <w:rFonts w:ascii="Times New Roman" w:hAnsi="Times New Roman" w:cs="Times New Roman"/>
          <w:b/>
          <w:i/>
          <w:lang w:val="fr-FR"/>
        </w:rPr>
        <w:t>Orientations générales</w:t>
      </w:r>
    </w:p>
    <w:p w14:paraId="53A8C113" w14:textId="565167A6" w:rsidR="00A672D6" w:rsidRPr="00E634A5" w:rsidRDefault="00E634A5" w:rsidP="007909E7">
      <w:pPr>
        <w:pStyle w:val="Paragraphedeliste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Nombre de pages suggérées :</w:t>
      </w:r>
      <w:r w:rsidR="007D7731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5</w:t>
      </w:r>
      <w:r w:rsidR="00B40288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à </w:t>
      </w:r>
      <w:r w:rsidR="007D7731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6</w:t>
      </w:r>
      <w:r w:rsidR="000936B9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pages </w:t>
      </w:r>
    </w:p>
    <w:p w14:paraId="0C03C75A" w14:textId="05C31BF7" w:rsidR="00F265BA" w:rsidRPr="00E634A5" w:rsidRDefault="00B40288" w:rsidP="007909E7">
      <w:pPr>
        <w:pStyle w:val="Paragraphedeliste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Objectif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 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:</w:t>
      </w:r>
      <w:r w:rsidR="009F536C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La 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tratégie a pour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but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de </w:t>
      </w:r>
      <w:r w:rsidR="00BB3B51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présenter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une vision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commune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de la façon dont l’ONU contribue actuellement aux résultats obtenus 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>dans le domaine de la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nutrition et d’</w:t>
      </w:r>
      <w:r w:rsidR="00BB3B51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identifier les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opportunités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stratégiques d’amélioration de l’impact de l’ONU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en tenant compte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des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atouts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et de l’avantage comparatif de l’ONU en matière de nutrition. 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Elle décrit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les moyens employés par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l’ONU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pour soutenir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les efforts déployés au niveau national 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>en faveur de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la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nutrition et </w:t>
      </w:r>
      <w:r w:rsid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vise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à identifier les besoins </w:t>
      </w:r>
      <w:r w:rsidR="004072D3">
        <w:rPr>
          <w:rFonts w:ascii="Times New Roman" w:hAnsi="Times New Roman" w:cs="Times New Roman"/>
          <w:i/>
          <w:color w:val="365F91" w:themeColor="accent1" w:themeShade="BF"/>
          <w:lang w:val="fr-FR"/>
        </w:rPr>
        <w:t>auxquels il faut encore répondre</w:t>
      </w:r>
      <w:r w:rsidR="005E0FE7" w:rsidRPr="00E634A5">
        <w:rPr>
          <w:rFonts w:ascii="Times New Roman" w:hAnsi="Times New Roman" w:cs="Times New Roman"/>
          <w:i/>
          <w:color w:val="FF0000"/>
          <w:lang w:val="fr-FR"/>
        </w:rPr>
        <w:t xml:space="preserve"> 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et/ou </w:t>
      </w:r>
      <w:r w:rsidR="004072D3">
        <w:rPr>
          <w:rFonts w:ascii="Times New Roman" w:hAnsi="Times New Roman" w:cs="Times New Roman"/>
          <w:i/>
          <w:color w:val="365F91" w:themeColor="accent1" w:themeShade="BF"/>
          <w:lang w:val="fr-FR"/>
        </w:rPr>
        <w:t>auxquels il serait possible de répondre</w:t>
      </w:r>
      <w:r w:rsidR="005E0F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de façon plus efficie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>nte ou efficace.</w:t>
      </w:r>
    </w:p>
    <w:p w14:paraId="08038C2F" w14:textId="77777777" w:rsidR="00056075" w:rsidRPr="00E634A5" w:rsidRDefault="00056075" w:rsidP="00A672D6">
      <w:pPr>
        <w:spacing w:after="0"/>
        <w:rPr>
          <w:rFonts w:ascii="Times New Roman" w:hAnsi="Times New Roman" w:cs="Times New Roman"/>
          <w:b/>
          <w:bCs/>
          <w:lang w:val="fr-FR"/>
        </w:rPr>
      </w:pPr>
    </w:p>
    <w:p w14:paraId="0B259B4E" w14:textId="45931DE3" w:rsidR="00A672D6" w:rsidRPr="00E634A5" w:rsidRDefault="00A672D6" w:rsidP="00A672D6">
      <w:pPr>
        <w:spacing w:after="0"/>
        <w:rPr>
          <w:rFonts w:ascii="Times New Roman" w:hAnsi="Times New Roman" w:cs="Times New Roman"/>
          <w:b/>
          <w:bCs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/>
          <w:bCs/>
          <w:lang w:val="fr-FR"/>
        </w:rPr>
        <w:t>Section</w:t>
      </w:r>
      <w:r w:rsidR="00980796"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E634A5">
        <w:rPr>
          <w:rFonts w:ascii="Times New Roman" w:hAnsi="Times New Roman" w:cs="Times New Roman"/>
          <w:b/>
          <w:bCs/>
          <w:lang w:val="fr-FR"/>
        </w:rPr>
        <w:t>1</w:t>
      </w:r>
      <w:r w:rsidR="00EB140A" w:rsidRPr="00E634A5">
        <w:rPr>
          <w:rFonts w:ascii="Times New Roman" w:hAnsi="Times New Roman" w:cs="Times New Roman"/>
          <w:b/>
          <w:bCs/>
          <w:lang w:val="fr-FR"/>
        </w:rPr>
        <w:t> </w:t>
      </w:r>
      <w:r w:rsidR="00605686" w:rsidRPr="00E634A5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B40288" w:rsidRPr="00E634A5">
        <w:rPr>
          <w:rFonts w:ascii="Times New Roman" w:hAnsi="Times New Roman" w:cs="Times New Roman"/>
          <w:b/>
          <w:bCs/>
          <w:lang w:val="fr-FR"/>
        </w:rPr>
        <w:t>Situation nutritionnelle</w:t>
      </w:r>
      <w:r w:rsidR="00601F7F"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60568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[1/2 page]</w:t>
      </w:r>
    </w:p>
    <w:p w14:paraId="3CC3A39A" w14:textId="5AC7305E" w:rsidR="00A672D6" w:rsidRPr="00E634A5" w:rsidRDefault="005E0FE7" w:rsidP="007909E7">
      <w:pPr>
        <w:spacing w:after="240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Décrire brièvement la situation nutritionnelle dans le pays. Utiliser les données 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issues </w:t>
      </w:r>
      <w:r w:rsidR="004072D3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de toute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analyse 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de </w:t>
      </w:r>
      <w:r w:rsidR="004072D3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la 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situation </w:t>
      </w:r>
      <w:r w:rsidR="004072D3">
        <w:rPr>
          <w:rFonts w:ascii="Times New Roman" w:hAnsi="Times New Roman" w:cs="Times New Roman"/>
          <w:i/>
          <w:color w:val="365F91" w:themeColor="accent1" w:themeShade="BF"/>
          <w:lang w:val="fr-FR"/>
        </w:rPr>
        <w:t>réalisée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dans le pays et </w:t>
      </w:r>
      <w:r w:rsidR="004072D3">
        <w:rPr>
          <w:rFonts w:ascii="Times New Roman" w:hAnsi="Times New Roman" w:cs="Times New Roman"/>
          <w:i/>
          <w:color w:val="365F91" w:themeColor="accent1" w:themeShade="BF"/>
          <w:lang w:val="fr-FR"/>
        </w:rPr>
        <w:t>de tout autre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document pertinent </w:t>
      </w:r>
      <w:r w:rsidR="00A672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(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enquêtes, rapports de nutrition</w:t>
      </w:r>
      <w:r w:rsidR="00A672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, etc.)</w:t>
      </w:r>
      <w:r w:rsidR="00F50DB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Mettre en évidence les problèmes clés et les </w:t>
      </w:r>
      <w:r w:rsidR="005D6AD6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causes 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de la malnutrition</w:t>
      </w:r>
      <w:r w:rsidR="0061144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0DD98A63" w14:textId="37EE6F8C" w:rsidR="00605686" w:rsidRPr="00E634A5" w:rsidRDefault="00605686" w:rsidP="007909E7">
      <w:pPr>
        <w:spacing w:after="0"/>
        <w:jc w:val="both"/>
        <w:rPr>
          <w:rFonts w:ascii="Times New Roman" w:hAnsi="Times New Roman" w:cs="Times New Roman"/>
          <w:b/>
          <w:bCs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/>
          <w:bCs/>
          <w:lang w:val="fr-FR"/>
        </w:rPr>
        <w:t>Section 2</w:t>
      </w:r>
      <w:r w:rsidR="00EB140A" w:rsidRPr="00E634A5">
        <w:rPr>
          <w:rFonts w:ascii="Times New Roman" w:hAnsi="Times New Roman" w:cs="Times New Roman"/>
          <w:b/>
          <w:bCs/>
          <w:lang w:val="fr-FR"/>
        </w:rPr>
        <w:t> </w:t>
      </w:r>
      <w:r w:rsidRPr="00E634A5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B40288" w:rsidRPr="00E634A5">
        <w:rPr>
          <w:rFonts w:ascii="Times New Roman" w:hAnsi="Times New Roman" w:cs="Times New Roman"/>
          <w:b/>
          <w:bCs/>
          <w:lang w:val="fr-FR"/>
        </w:rPr>
        <w:t>Gouvernance de la nutrition</w:t>
      </w:r>
      <w:r w:rsidR="0060295A"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[</w:t>
      </w:r>
      <w:r w:rsidR="00057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1/2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page]</w:t>
      </w:r>
    </w:p>
    <w:p w14:paraId="7980329A" w14:textId="1250E93C" w:rsidR="00D60543" w:rsidRPr="00E634A5" w:rsidRDefault="004072D3" w:rsidP="007909E7">
      <w:pPr>
        <w:pStyle w:val="Paragraphedeliste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Présenter </w:t>
      </w:r>
      <w:r w:rsidR="00A8272F">
        <w:rPr>
          <w:rFonts w:ascii="Times New Roman" w:hAnsi="Times New Roman" w:cs="Times New Roman"/>
          <w:i/>
          <w:color w:val="365F91" w:themeColor="accent1" w:themeShade="BF"/>
          <w:lang w:val="fr-FR"/>
        </w:rPr>
        <w:t>rapidement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la portée et le statut du cadre de</w:t>
      </w:r>
      <w:r w:rsid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politiques liées à la nutrition. Décrire brièvement 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tous </w:t>
      </w:r>
      <w:r w:rsidR="00A8272F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les 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types de</w:t>
      </w:r>
      <w:r w:rsidR="005D6AD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politique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s, de stratégies et/ou de plans d’action actuels en matière de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nutrition, </w:t>
      </w:r>
      <w:r w:rsidR="00A8272F">
        <w:rPr>
          <w:rFonts w:ascii="Times New Roman" w:hAnsi="Times New Roman" w:cs="Times New Roman"/>
          <w:i/>
          <w:color w:val="365F91" w:themeColor="accent1" w:themeShade="BF"/>
          <w:lang w:val="fr-FR"/>
        </w:rPr>
        <w:t>en précisant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leur validité (en vigueur/obsolète</w:t>
      </w:r>
      <w:r w:rsidR="00A8272F"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), leur statut (approuvé</w:t>
      </w:r>
      <w:r w:rsidR="00A8272F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s 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formellement </w:t>
      </w:r>
      <w:r w:rsidR="00A8272F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ou non </w:t>
      </w:r>
      <w:r w:rsidR="00F851BD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par le gouvernement) et s’ils sont </w:t>
      </w:r>
      <w:r w:rsidR="00586A7F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multisectoriels. </w:t>
      </w:r>
    </w:p>
    <w:p w14:paraId="4622318F" w14:textId="78CB9E5D" w:rsidR="00D60543" w:rsidRPr="00E634A5" w:rsidRDefault="00F851BD" w:rsidP="007909E7">
      <w:pPr>
        <w:pStyle w:val="Paragraphedeliste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Existe-il des politiques et/ou des stratégies nationales et/ou sectorielles </w:t>
      </w:r>
      <w:r w:rsidR="00F24425">
        <w:rPr>
          <w:rFonts w:ascii="Times New Roman" w:hAnsi="Times New Roman" w:cs="Times New Roman"/>
          <w:i/>
          <w:color w:val="365F91" w:themeColor="accent1" w:themeShade="BF"/>
          <w:lang w:val="fr-FR"/>
        </w:rPr>
        <w:t>intéressantes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qui </w:t>
      </w:r>
      <w:r w:rsidR="00586A7F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portent sur</w:t>
      </w:r>
      <w:r w:rsidR="002F43F3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la nutrition</w:t>
      </w:r>
      <w:r w:rsidR="00586A7F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 ? Si tel est le cas, lesquel</w:t>
      </w:r>
      <w:r w:rsidR="00F24425">
        <w:rPr>
          <w:rFonts w:ascii="Times New Roman" w:hAnsi="Times New Roman" w:cs="Times New Roman"/>
          <w:i/>
          <w:color w:val="365F91" w:themeColor="accent1" w:themeShade="BF"/>
          <w:lang w:val="fr-FR"/>
        </w:rPr>
        <w:t>le</w:t>
      </w:r>
      <w:r w:rsidR="00586A7F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s ?</w:t>
      </w:r>
    </w:p>
    <w:p w14:paraId="28D41F48" w14:textId="58D6374A" w:rsidR="00611447" w:rsidRPr="00E634A5" w:rsidRDefault="00586A7F" w:rsidP="007909E7">
      <w:pPr>
        <w:pStyle w:val="Paragraphedeliste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b/>
          <w:bCs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Décrire les dispositions institutionne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lles </w:t>
      </w:r>
      <w:r w:rsidR="005F7FEB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prises 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en faveur de la nutrition, </w:t>
      </w:r>
      <w:r w:rsidR="005F7FEB">
        <w:rPr>
          <w:rFonts w:ascii="Times New Roman" w:hAnsi="Times New Roman" w:cs="Times New Roman"/>
          <w:i/>
          <w:color w:val="365F91" w:themeColor="accent1" w:themeShade="BF"/>
          <w:lang w:val="fr-FR"/>
        </w:rPr>
        <w:t>en citant également les acteurs de la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nutrition dans le pays</w:t>
      </w:r>
      <w:r w:rsidR="002F43F3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 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;</w:t>
      </w:r>
      <w:r w:rsidR="002F43F3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les</w:t>
      </w:r>
      <w:r w:rsidR="005F7FEB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principaux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mécanismes de coordination pour la nutrition (haut niveau, niveau technique et secrétariat, le cas échéant) au n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iveau national et sous-national. 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Préciser s’il s’agit </w:t>
      </w:r>
      <w:r w:rsidR="005F7FEB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ou non 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de structures formelles ainsi que la mesure dans laquelle elles sont opérationnelles et </w:t>
      </w:r>
      <w:r w:rsidR="005F7FEB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ouvertes à 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des secteurs multiples. Décrire le statut des autres réseaux SUN dans le pays (bailleurs de fonds, société civile, ONU, secteur privé) et la mesure dans laquelle ils sont opérationnels et </w:t>
      </w:r>
      <w:r w:rsidR="006C5C5B">
        <w:rPr>
          <w:rFonts w:ascii="Times New Roman" w:hAnsi="Times New Roman" w:cs="Times New Roman"/>
          <w:i/>
          <w:color w:val="365F91" w:themeColor="accent1" w:themeShade="BF"/>
          <w:lang w:val="fr-FR"/>
        </w:rPr>
        <w:t>ouverts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6CC0C8F2" w14:textId="77777777" w:rsidR="008A3ED8" w:rsidRPr="00E634A5" w:rsidRDefault="008A3ED8" w:rsidP="008A3ED8">
      <w:pPr>
        <w:pStyle w:val="Paragraphedeliste"/>
        <w:spacing w:after="0"/>
        <w:ind w:left="426"/>
        <w:rPr>
          <w:rFonts w:ascii="Times New Roman" w:hAnsi="Times New Roman" w:cs="Times New Roman"/>
          <w:b/>
          <w:bCs/>
          <w:lang w:val="fr-FR"/>
        </w:rPr>
      </w:pPr>
    </w:p>
    <w:p w14:paraId="3AE9EA2B" w14:textId="42BC06E2" w:rsidR="00605686" w:rsidRPr="00E634A5" w:rsidRDefault="00605686" w:rsidP="00605686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/>
          <w:bCs/>
          <w:lang w:val="fr-FR"/>
        </w:rPr>
        <w:t>Section 3</w:t>
      </w:r>
      <w:r w:rsidR="00B2789C" w:rsidRPr="00E634A5">
        <w:rPr>
          <w:rFonts w:ascii="Times New Roman" w:hAnsi="Times New Roman" w:cs="Times New Roman"/>
          <w:b/>
          <w:bCs/>
          <w:lang w:val="fr-FR"/>
        </w:rPr>
        <w:t> </w:t>
      </w:r>
      <w:r w:rsidRPr="00E634A5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DD5DC6" w:rsidRPr="00E634A5">
        <w:rPr>
          <w:rFonts w:ascii="Times New Roman" w:hAnsi="Times New Roman" w:cs="Times New Roman"/>
          <w:b/>
          <w:bCs/>
          <w:lang w:val="fr-FR"/>
        </w:rPr>
        <w:t>Réponse du gouvernement</w:t>
      </w:r>
      <w:r w:rsidR="00383D54"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[1/2 page]</w:t>
      </w:r>
    </w:p>
    <w:p w14:paraId="3AC95002" w14:textId="2D13EB0D" w:rsidR="00241AB1" w:rsidRPr="00E634A5" w:rsidRDefault="00DD5DC6" w:rsidP="007909E7">
      <w:pPr>
        <w:spacing w:after="0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Expliquer brièvement en quoi consiste la réponse en matière de nutrition, telle que définie par les stratégies et 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les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plans gouvernementaux concernés, en veillant à identifier :</w:t>
      </w:r>
    </w:p>
    <w:p w14:paraId="580F3524" w14:textId="7AA84D54" w:rsidR="00D000A6" w:rsidRPr="00E634A5" w:rsidRDefault="005F7FEB" w:rsidP="007909E7">
      <w:pPr>
        <w:pStyle w:val="Paragraphedeliste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Les interventions prioritaires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/actions clés de nutrition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nationales sélectionnées 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pour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résoudre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les problèmes de nutrition que rencontre le pays</w:t>
      </w:r>
      <w:r w:rsidR="00D60543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5A768CCE" w14:textId="702D0B0A" w:rsidR="00241AB1" w:rsidRPr="00E634A5" w:rsidRDefault="005F7FEB" w:rsidP="007909E7">
      <w:pPr>
        <w:pStyle w:val="Paragraphedeliste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Le s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ystème de S&amp;E en place pour les stratégies/plans ; </w:t>
      </w:r>
      <w:r w:rsidR="00D000A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="005717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c.-à-d.</w:t>
      </w:r>
      <w:r w:rsidR="00D000A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la façon dont seront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mesurés </w:t>
      </w:r>
      <w:r w:rsidR="00DD5DC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l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es progrès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réalisés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110495CD" w14:textId="0102C59C" w:rsidR="00611447" w:rsidRPr="00E634A5" w:rsidRDefault="005F7FEB" w:rsidP="007909E7">
      <w:pPr>
        <w:pStyle w:val="Paragraphedeliste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 </w:t>
      </w:r>
      <w:r w:rsidR="00433A4C">
        <w:rPr>
          <w:rFonts w:ascii="Times New Roman" w:hAnsi="Times New Roman" w:cs="Times New Roman"/>
          <w:i/>
          <w:color w:val="365F91" w:themeColor="accent1" w:themeShade="BF"/>
          <w:lang w:val="fr-FR"/>
        </w:rPr>
        <w:t>f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inancement global alloué aux actions de nutrition par les plans du gouvernement,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lorsque cela est 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possible, et toute lacune majeure</w:t>
      </w:r>
      <w:r w:rsidR="001E6709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77F3A094" w14:textId="77777777" w:rsidR="008A3ED8" w:rsidRPr="00E634A5" w:rsidRDefault="008A3ED8" w:rsidP="008A3ED8">
      <w:pPr>
        <w:pStyle w:val="Paragraphedeliste"/>
        <w:spacing w:after="0"/>
        <w:ind w:left="426"/>
        <w:rPr>
          <w:rFonts w:ascii="Times New Roman" w:hAnsi="Times New Roman" w:cs="Times New Roman"/>
          <w:b/>
          <w:bCs/>
          <w:lang w:val="fr-FR"/>
        </w:rPr>
      </w:pPr>
    </w:p>
    <w:p w14:paraId="646FE978" w14:textId="4260E9E9" w:rsidR="00D60543" w:rsidRPr="00E634A5" w:rsidRDefault="00D60543" w:rsidP="007909E7">
      <w:pPr>
        <w:spacing w:after="0"/>
        <w:jc w:val="both"/>
        <w:rPr>
          <w:rFonts w:ascii="Times New Roman" w:hAnsi="Times New Roman" w:cs="Times New Roman"/>
          <w:b/>
          <w:bCs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/>
          <w:bCs/>
          <w:lang w:val="fr-FR"/>
        </w:rPr>
        <w:t xml:space="preserve">Section </w:t>
      </w:r>
      <w:r w:rsidR="007909E7" w:rsidRPr="00E634A5">
        <w:rPr>
          <w:rFonts w:ascii="Times New Roman" w:hAnsi="Times New Roman" w:cs="Times New Roman"/>
          <w:b/>
          <w:bCs/>
          <w:lang w:val="fr-FR"/>
        </w:rPr>
        <w:t>4</w:t>
      </w:r>
      <w:r w:rsidR="00B2789C" w:rsidRPr="00E634A5">
        <w:rPr>
          <w:rFonts w:ascii="Times New Roman" w:hAnsi="Times New Roman" w:cs="Times New Roman"/>
          <w:b/>
          <w:bCs/>
          <w:lang w:val="fr-FR"/>
        </w:rPr>
        <w:t> </w:t>
      </w:r>
      <w:r w:rsidRPr="00E634A5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EB140A" w:rsidRPr="00E634A5">
        <w:rPr>
          <w:rFonts w:ascii="Times New Roman" w:hAnsi="Times New Roman" w:cs="Times New Roman"/>
          <w:b/>
          <w:bCs/>
          <w:lang w:val="fr-FR"/>
        </w:rPr>
        <w:t>Soutien actuel de l’ONU</w:t>
      </w:r>
      <w:r w:rsidR="00D9307E"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[</w:t>
      </w:r>
      <w:r w:rsidR="007D7731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1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à </w:t>
      </w:r>
      <w:r w:rsidR="0063194F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2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page</w:t>
      </w:r>
      <w:r w:rsidR="0063194F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]</w:t>
      </w:r>
    </w:p>
    <w:p w14:paraId="345C90C3" w14:textId="04C72A6E" w:rsidR="005E74ED" w:rsidRPr="002B1073" w:rsidRDefault="002B1073" w:rsidP="007909E7">
      <w:pPr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Présenter rapidement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les moyens </w:t>
      </w:r>
      <w:r w:rsidR="009D2CCD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actuellement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employés par 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les agences de l’ONU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pour soutenir les mesures prises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par le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g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ouvernement en matière de nutrition (telle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que décrite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dans le Plan d’action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lastRenderedPageBreak/>
        <w:t xml:space="preserve">national 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ou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dans </w:t>
      </w:r>
      <w:r w:rsidR="00EB140A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la Stratégie nationale de nutrition s’il n’y a pas de plan d’action) et les aspirations pour les contributions futures de l’ONU, en </w:t>
      </w:r>
      <w:r w:rsidR="00EB140A" w:rsidRPr="002B1073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veillant à </w:t>
      </w:r>
      <w:r w:rsidRPr="002B1073">
        <w:rPr>
          <w:rFonts w:ascii="Times New Roman" w:hAnsi="Times New Roman" w:cs="Times New Roman"/>
          <w:i/>
          <w:color w:val="365F91" w:themeColor="accent1" w:themeShade="BF"/>
          <w:lang w:val="fr-FR"/>
        </w:rPr>
        <w:t>mettre l’accent sur</w:t>
      </w:r>
      <w:r w:rsidR="00EB140A" w:rsidRPr="002B1073">
        <w:rPr>
          <w:rFonts w:ascii="Times New Roman" w:hAnsi="Times New Roman" w:cs="Times New Roman"/>
          <w:i/>
          <w:color w:val="365F91" w:themeColor="accent1" w:themeShade="BF"/>
          <w:lang w:val="fr-FR"/>
        </w:rPr>
        <w:t> :</w:t>
      </w:r>
    </w:p>
    <w:p w14:paraId="5E2A5F75" w14:textId="3D9484F3" w:rsidR="005E74ED" w:rsidRPr="00E634A5" w:rsidRDefault="002F43F3" w:rsidP="0010325D">
      <w:pPr>
        <w:pStyle w:val="Paragraphedeliste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 </w:t>
      </w:r>
      <w:r w:rsidR="008972B6"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outien </w:t>
      </w:r>
      <w:r w:rsidR="008972B6">
        <w:rPr>
          <w:rFonts w:ascii="Times New Roman" w:hAnsi="Times New Roman" w:cs="Times New Roman"/>
          <w:i/>
          <w:color w:val="365F91" w:themeColor="accent1" w:themeShade="BF"/>
          <w:lang w:val="fr-FR"/>
        </w:rPr>
        <w:t>de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l’ONU aux actions/interventions prioritaires et aux mécanismes actuels de coordination</w:t>
      </w:r>
      <w:r w:rsidR="008972B6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="008972B6" w:rsidRPr="008972B6">
        <w:rPr>
          <w:rFonts w:ascii="Times New Roman" w:hAnsi="Times New Roman" w:cs="Times New Roman"/>
          <w:i/>
          <w:color w:val="365F91" w:themeColor="accent1" w:themeShade="BF"/>
          <w:lang w:val="fr-FR"/>
        </w:rPr>
        <w:t>du gouvernement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, en i</w:t>
      </w:r>
      <w:bookmarkStart w:id="0" w:name="_GoBack"/>
      <w:bookmarkEnd w:id="0"/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nsistant sur la mesure dans laquelle </w:t>
      </w:r>
      <w:r w:rsidR="00B76D08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la répons</w:t>
      </w:r>
      <w:r w:rsidR="008972B6">
        <w:rPr>
          <w:rFonts w:ascii="Times New Roman" w:hAnsi="Times New Roman" w:cs="Times New Roman"/>
          <w:i/>
          <w:color w:val="365F91" w:themeColor="accent1" w:themeShade="BF"/>
          <w:lang w:val="fr-FR"/>
        </w:rPr>
        <w:t>e de l’ONU est multisectorielle</w:t>
      </w:r>
      <w:r w:rsidR="006C44DA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1A9CE472" w14:textId="3933A42C" w:rsidR="00241AB1" w:rsidRPr="00E634A5" w:rsidRDefault="008972B6" w:rsidP="005E74ED">
      <w:pPr>
        <w:pStyle w:val="Paragraphedeliste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Les moyens employés par</w:t>
      </w:r>
      <w:r w:rsidR="0064579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l’ONU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pour aider à résoudre </w:t>
      </w:r>
      <w:r w:rsidR="0064579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les problèmes de nutrition du pays (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c.-à-d.</w:t>
      </w:r>
      <w:r w:rsidR="0064579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="00046C31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o</w:t>
      </w:r>
      <w:r w:rsidR="00645797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ù l’ONU </w:t>
      </w:r>
      <w:r w:rsidR="0064579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cherche-t-elle l’efficience, l’efficacité, les programmes conjoints, les </w:t>
      </w:r>
      <w:r w:rsidR="00645797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mécanismes </w:t>
      </w:r>
      <w:r w:rsidR="0070154F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d’exécution communs</w:t>
      </w:r>
      <w:r w:rsidR="0064579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, </w:t>
      </w:r>
      <w:r w:rsidR="00645797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 ciblage </w:t>
      </w:r>
      <w:r w:rsidR="0070154F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conjoint</w:t>
      </w:r>
      <w:r w:rsidR="0064579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).</w:t>
      </w:r>
    </w:p>
    <w:p w14:paraId="0FF4B432" w14:textId="5F0EB11D" w:rsidR="005E74ED" w:rsidRPr="00E634A5" w:rsidRDefault="00645797" w:rsidP="005E74ED">
      <w:pPr>
        <w:pStyle w:val="Paragraphedeliste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Toute lac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une concernant la programmation</w:t>
      </w:r>
      <w:r w:rsidR="001D02F7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ou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le soutien (ex. </w:t>
      </w:r>
      <w:r w:rsidR="00046C31">
        <w:rPr>
          <w:rFonts w:ascii="Times New Roman" w:hAnsi="Times New Roman" w:cs="Times New Roman"/>
          <w:i/>
          <w:color w:val="365F91" w:themeColor="accent1" w:themeShade="BF"/>
          <w:lang w:val="fr-FR"/>
        </w:rPr>
        <w:t>absence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de programmes </w:t>
      </w:r>
      <w:r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dans le</w:t>
      </w:r>
      <w:r w:rsidR="00046C31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domaine</w:t>
      </w:r>
      <w:r w:rsidR="00046C31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s </w:t>
      </w:r>
      <w:r w:rsidR="00033D18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dans lesquels</w:t>
      </w:r>
      <w:r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l’ONU</w:t>
      </w:r>
      <w:r w:rsidR="00033D18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peut apporter de la valeur ajoutée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, manque d’alignement sur les politiques nationales et </w:t>
      </w:r>
      <w:r w:rsidR="006867A6">
        <w:rPr>
          <w:rFonts w:ascii="Times New Roman" w:hAnsi="Times New Roman" w:cs="Times New Roman"/>
          <w:i/>
          <w:color w:val="365F91" w:themeColor="accent1" w:themeShade="BF"/>
          <w:lang w:val="fr-FR"/>
        </w:rPr>
        <w:t>l’UNDAF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ou équivalent, non-alignement de la concentration géographique</w:t>
      </w:r>
      <w:r w:rsidR="008A170E">
        <w:rPr>
          <w:rFonts w:ascii="Times New Roman" w:hAnsi="Times New Roman" w:cs="Times New Roman"/>
          <w:i/>
          <w:color w:val="365F91" w:themeColor="accent1" w:themeShade="BF"/>
          <w:lang w:val="fr-FR"/>
        </w:rPr>
        <w:t>, etc.</w:t>
      </w:r>
      <w:r w:rsidR="0061144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)</w:t>
      </w:r>
      <w:r w:rsidR="007909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40C35996" w14:textId="39606CB6" w:rsidR="00D9307E" w:rsidRPr="00E634A5" w:rsidRDefault="00046C31" w:rsidP="005E74ED">
      <w:pPr>
        <w:pStyle w:val="Paragraphedeliste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Les moyens employés par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l’ONU </w:t>
      </w:r>
      <w:r>
        <w:rPr>
          <w:rFonts w:ascii="Times New Roman" w:hAnsi="Times New Roman" w:cs="Times New Roman"/>
          <w:i/>
          <w:color w:val="365F91" w:themeColor="accent1" w:themeShade="BF"/>
          <w:lang w:val="fr-FR"/>
        </w:rPr>
        <w:t>pour assurer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une coordination inter-agences en matière de nutrition (ex. </w:t>
      </w:r>
      <w:r w:rsidR="006867A6">
        <w:rPr>
          <w:rFonts w:ascii="Times New Roman" w:hAnsi="Times New Roman" w:cs="Times New Roman"/>
          <w:i/>
          <w:color w:val="365F91" w:themeColor="accent1" w:themeShade="BF"/>
          <w:lang w:val="fr-FR"/>
        </w:rPr>
        <w:t>Existe-t-il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="006867A6">
        <w:rPr>
          <w:rFonts w:ascii="Times New Roman" w:hAnsi="Times New Roman" w:cs="Times New Roman"/>
          <w:i/>
          <w:color w:val="365F91" w:themeColor="accent1" w:themeShade="BF"/>
          <w:lang w:val="fr-FR"/>
        </w:rPr>
        <w:t>un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Réseau des Nations Unies pour le SUN, </w:t>
      </w:r>
      <w:r w:rsidR="006867A6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quelles sont ses fonctions et ses 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liens avec </w:t>
      </w:r>
      <w:r w:rsidR="006867A6">
        <w:rPr>
          <w:rFonts w:ascii="Times New Roman" w:hAnsi="Times New Roman" w:cs="Times New Roman"/>
          <w:i/>
          <w:color w:val="365F91" w:themeColor="accent1" w:themeShade="BF"/>
          <w:lang w:val="fr-FR"/>
        </w:rPr>
        <w:t>l’UNDAF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et </w:t>
      </w:r>
      <w:r w:rsidR="006867A6">
        <w:rPr>
          <w:rFonts w:ascii="Times New Roman" w:hAnsi="Times New Roman" w:cs="Times New Roman"/>
          <w:i/>
          <w:color w:val="365F91" w:themeColor="accent1" w:themeShade="BF"/>
          <w:lang w:val="fr-FR"/>
        </w:rPr>
        <w:t>l’équipe de pays des Nations Unies ?</w:t>
      </w:r>
      <w:r w:rsidR="00A41E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)</w:t>
      </w:r>
      <w:r w:rsidR="007909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  <w:r w:rsidR="00D9307E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</w:p>
    <w:p w14:paraId="38F4DE02" w14:textId="7C88D55A" w:rsidR="007909E7" w:rsidRPr="00E634A5" w:rsidRDefault="00A41E16" w:rsidP="007909E7">
      <w:pPr>
        <w:pStyle w:val="Paragraphedeliste"/>
        <w:numPr>
          <w:ilvl w:val="0"/>
          <w:numId w:val="29"/>
        </w:numPr>
        <w:ind w:left="426"/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Noter les acteurs clés extérieurs à l’ONU</w:t>
      </w:r>
      <w:r w:rsidR="007909E7" w:rsidRPr="00E634A5">
        <w:rPr>
          <w:rStyle w:val="Appelnotedebasdep"/>
          <w:rFonts w:ascii="Times New Roman" w:hAnsi="Times New Roman" w:cs="Times New Roman"/>
          <w:i/>
          <w:color w:val="365F91" w:themeColor="accent1" w:themeShade="BF"/>
          <w:lang w:val="fr-FR"/>
        </w:rPr>
        <w:footnoteReference w:id="1"/>
      </w:r>
      <w:r w:rsidR="007909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qui soutiennent la mise en œuvre d’interventions prioritaires/d’actions clés de nutrition </w:t>
      </w:r>
      <w:r w:rsidR="00046C31">
        <w:rPr>
          <w:rFonts w:ascii="Times New Roman" w:hAnsi="Times New Roman" w:cs="Times New Roman"/>
          <w:i/>
          <w:color w:val="365F91" w:themeColor="accent1" w:themeShade="BF"/>
          <w:lang w:val="fr-FR"/>
        </w:rPr>
        <w:t>au niveau national (brève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description des programmes clés, des </w:t>
      </w:r>
      <w:r w:rsidR="00B2789C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zones géographiques </w:t>
      </w:r>
      <w:r w:rsidR="00046C31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d’intervention</w:t>
      </w:r>
      <w:r w:rsidR="00B2789C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, des groupes ciblés)</w:t>
      </w:r>
      <w:r w:rsidR="007909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. </w:t>
      </w:r>
    </w:p>
    <w:p w14:paraId="2F49C684" w14:textId="20F97304" w:rsidR="007909E7" w:rsidRPr="00E634A5" w:rsidRDefault="007909E7" w:rsidP="007909E7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/>
          <w:bCs/>
          <w:lang w:val="fr-FR"/>
        </w:rPr>
        <w:t>Section 5</w:t>
      </w:r>
      <w:r w:rsidR="00B2789C" w:rsidRPr="00E634A5">
        <w:rPr>
          <w:rFonts w:ascii="Times New Roman" w:hAnsi="Times New Roman" w:cs="Times New Roman"/>
          <w:b/>
          <w:bCs/>
          <w:lang w:val="fr-FR"/>
        </w:rPr>
        <w:t> </w:t>
      </w:r>
      <w:r w:rsidRPr="00E634A5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B2789C" w:rsidRPr="00E634A5">
        <w:rPr>
          <w:rFonts w:ascii="Times New Roman" w:hAnsi="Times New Roman" w:cs="Times New Roman"/>
          <w:b/>
          <w:bCs/>
          <w:lang w:val="fr-FR"/>
        </w:rPr>
        <w:t>Vision de l’ONU en matière de nutrition</w:t>
      </w:r>
      <w:r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[1/2 page]</w:t>
      </w:r>
    </w:p>
    <w:p w14:paraId="3C5178A4" w14:textId="27F15853" w:rsidR="007909E7" w:rsidRPr="00E634A5" w:rsidRDefault="00B2789C" w:rsidP="007909E7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Décrire brièvement la vision de l’ONU en matière de nutrition dans le pays, </w:t>
      </w:r>
      <w:r w:rsidR="00571716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c.-à-d.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quel type de changement est attend</w:t>
      </w:r>
      <w:r w:rsidR="00033D18">
        <w:rPr>
          <w:rFonts w:ascii="Times New Roman" w:hAnsi="Times New Roman" w:cs="Times New Roman"/>
          <w:i/>
          <w:color w:val="365F91" w:themeColor="accent1" w:themeShade="BF"/>
          <w:lang w:val="fr-FR"/>
        </w:rPr>
        <w:t>u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en termes de résultats de nutrition et/ou quels retours sont attendus </w:t>
      </w:r>
      <w:r w:rsidR="00033D18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par</w:t>
      </w:r>
      <w:r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rapport </w:t>
      </w:r>
      <w:r w:rsidR="00033D18" w:rsidRPr="00E77A34">
        <w:rPr>
          <w:rFonts w:ascii="Times New Roman" w:hAnsi="Times New Roman" w:cs="Times New Roman"/>
          <w:i/>
          <w:color w:val="365F91" w:themeColor="accent1" w:themeShade="BF"/>
          <w:lang w:val="fr-FR"/>
        </w:rPr>
        <w:t>aux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investissements de l’ONU dans</w:t>
      </w:r>
      <w:r w:rsidR="00033D18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le domaine de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la nutrition</w:t>
      </w:r>
      <w:r w:rsidR="007909E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.</w:t>
      </w:r>
    </w:p>
    <w:p w14:paraId="2169AAAE" w14:textId="114594D1" w:rsidR="007D7731" w:rsidRPr="00E634A5" w:rsidRDefault="008A3ED8" w:rsidP="007D7731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/>
          <w:bCs/>
          <w:lang w:val="fr-FR"/>
        </w:rPr>
        <w:t>Section 6</w:t>
      </w:r>
      <w:r w:rsidR="00B2789C" w:rsidRPr="00E634A5">
        <w:rPr>
          <w:rFonts w:ascii="Times New Roman" w:hAnsi="Times New Roman" w:cs="Times New Roman"/>
          <w:b/>
          <w:bCs/>
          <w:lang w:val="fr-FR"/>
        </w:rPr>
        <w:t> </w:t>
      </w:r>
      <w:r w:rsidRPr="00E634A5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033D18">
        <w:rPr>
          <w:rFonts w:ascii="Times New Roman" w:hAnsi="Times New Roman" w:cs="Times New Roman"/>
          <w:b/>
          <w:bCs/>
          <w:lang w:val="fr-FR"/>
        </w:rPr>
        <w:t>Se tourner</w:t>
      </w:r>
      <w:r w:rsidR="00CC09BD" w:rsidRPr="00E634A5">
        <w:rPr>
          <w:rFonts w:ascii="Times New Roman" w:hAnsi="Times New Roman" w:cs="Times New Roman"/>
          <w:b/>
          <w:bCs/>
          <w:lang w:val="fr-FR"/>
        </w:rPr>
        <w:t xml:space="preserve"> vers l’avenir</w:t>
      </w:r>
      <w:r w:rsidR="007D7731"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7D7731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[2 pages]</w:t>
      </w:r>
    </w:p>
    <w:p w14:paraId="6E5EB3E2" w14:textId="074454A3" w:rsidR="008A3ED8" w:rsidRPr="00E634A5" w:rsidRDefault="00B2789C" w:rsidP="007D7731">
      <w:pPr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Donner un aperçu des éléments clés de la Stratégie/l’Agenda de nutrition de l’ONU, en mettant en lumière </w:t>
      </w:r>
      <w:r w:rsidR="008A3ED8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:</w:t>
      </w:r>
    </w:p>
    <w:p w14:paraId="4227DB1D" w14:textId="5A8C3FAA" w:rsidR="008A3ED8" w:rsidRPr="00E634A5" w:rsidRDefault="00B2789C" w:rsidP="008A3ED8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Les d</w:t>
      </w:r>
      <w:r w:rsidR="009551F2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omaines d’intervention stratégiques </w:t>
      </w:r>
      <w:r w:rsidR="008A3ED8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;</w:t>
      </w:r>
    </w:p>
    <w:p w14:paraId="0E0DC4AD" w14:textId="404FFD02" w:rsidR="008A3ED8" w:rsidRPr="00E634A5" w:rsidRDefault="00B2789C" w:rsidP="008A3ED8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Les r</w:t>
      </w:r>
      <w:r w:rsidR="009551F2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ésultats attendus</w:t>
      </w:r>
      <w:r w:rsidR="007909E7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 (e</w:t>
      </w:r>
      <w:r w:rsidR="009551F2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x</w:t>
      </w:r>
      <w:r w:rsidR="007909E7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. </w:t>
      </w:r>
      <w:r w:rsidR="00033D18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résultats visés</w:t>
      </w:r>
      <w:r w:rsidR="007909E7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)</w:t>
      </w:r>
      <w:r w:rsidR="009551F2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 </w:t>
      </w:r>
      <w:r w:rsidR="008A3ED8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; </w:t>
      </w:r>
      <w:r w:rsidR="009551F2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et</w:t>
      </w:r>
    </w:p>
    <w:p w14:paraId="413ECBDB" w14:textId="73A568EB" w:rsidR="008A3ED8" w:rsidRPr="00E634A5" w:rsidRDefault="00B2789C" w:rsidP="008A3ED8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</w:pPr>
      <w:r w:rsidRPr="00033D18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Les a</w:t>
      </w:r>
      <w:r w:rsidR="009551F2" w:rsidRPr="00033D18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ctions</w:t>
      </w:r>
      <w:r w:rsidR="00645797" w:rsidRPr="00033D18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 immédiates</w:t>
      </w:r>
      <w:r w:rsidR="009551F2" w:rsidRPr="00033D18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/priorités </w:t>
      </w:r>
      <w:r w:rsidR="007909E7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(e</w:t>
      </w:r>
      <w:r w:rsidR="002F43F3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x</w:t>
      </w:r>
      <w:r w:rsidR="007909E7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. </w:t>
      </w:r>
      <w:r w:rsidR="002F43F3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réalisations </w:t>
      </w:r>
      <w:r w:rsidR="00645797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prioritaire</w:t>
      </w:r>
      <w:r w:rsidR="007909E7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s).</w:t>
      </w:r>
    </w:p>
    <w:p w14:paraId="211F7471" w14:textId="15830798" w:rsidR="0063194F" w:rsidRPr="00E634A5" w:rsidRDefault="00B2789C" w:rsidP="008A3ED8">
      <w:pPr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Ce texte doit inclure </w:t>
      </w:r>
      <w:r w:rsidR="00033D18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une description de </w:t>
      </w: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la façon dont l’ONU entend </w:t>
      </w:r>
      <w:r w:rsidR="00E77A34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combler</w:t>
      </w: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 les lacunes actuelles et mettre en lumière les opportunités stratégiques que le système de l’ONU </w:t>
      </w:r>
      <w:r w:rsidR="00E77A34" w:rsidRPr="00E77A34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souhaite</w:t>
      </w:r>
      <w:r w:rsidR="00E77A34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 </w:t>
      </w:r>
      <w:r w:rsidR="008A170E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saisir</w:t>
      </w: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 xml:space="preserve">, </w:t>
      </w:r>
      <w:r w:rsidR="00E77A34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comme</w:t>
      </w:r>
      <w:r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 </w:t>
      </w:r>
      <w:r w:rsidR="008A3ED8" w:rsidRPr="00E634A5">
        <w:rPr>
          <w:rFonts w:ascii="Times New Roman" w:hAnsi="Times New Roman" w:cs="Times New Roman"/>
          <w:bCs/>
          <w:i/>
          <w:color w:val="365F91" w:themeColor="accent1" w:themeShade="BF"/>
          <w:lang w:val="fr-FR"/>
        </w:rPr>
        <w:t>:</w:t>
      </w:r>
    </w:p>
    <w:p w14:paraId="18748DDE" w14:textId="046983AA" w:rsidR="007D7731" w:rsidRPr="00E634A5" w:rsidRDefault="00B76D08" w:rsidP="00431A3C">
      <w:pPr>
        <w:pStyle w:val="Paragraphedeliste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Efforts conjoints de plaidoyer</w:t>
      </w:r>
    </w:p>
    <w:p w14:paraId="2201D250" w14:textId="0C4CC6C1" w:rsidR="00056075" w:rsidRPr="00E634A5" w:rsidRDefault="009551F2" w:rsidP="00431A3C">
      <w:pPr>
        <w:pStyle w:val="Paragraphedeliste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Programmes/programmation conjoints</w:t>
      </w:r>
    </w:p>
    <w:p w14:paraId="3AEDFAC3" w14:textId="11B78CC4" w:rsidR="007462FE" w:rsidRPr="00E634A5" w:rsidRDefault="00B76D08" w:rsidP="00056075">
      <w:pPr>
        <w:pStyle w:val="Paragraphedeliste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Convergence géographique et de ciblage</w:t>
      </w:r>
    </w:p>
    <w:p w14:paraId="56B9F16A" w14:textId="73ADB0D7" w:rsidR="00611447" w:rsidRPr="00E634A5" w:rsidRDefault="00B2789C" w:rsidP="00056075">
      <w:pPr>
        <w:pStyle w:val="Paragraphedeliste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Exploitation</w:t>
      </w:r>
      <w:r w:rsidR="00B76D08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de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s</w:t>
      </w:r>
      <w:r w:rsidR="00B76D08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programmes/d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es </w:t>
      </w:r>
      <w:r w:rsidR="00B76D08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opportunités important(e)s avec d’autres acteurs</w:t>
      </w:r>
      <w:r w:rsidR="0061144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(</w:t>
      </w:r>
      <w:r w:rsidR="00B76D08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ex</w:t>
      </w:r>
      <w:r w:rsidR="0061144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.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l</w:t>
      </w:r>
      <w:r w:rsidR="00B76D08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e secteur privé, la société civile</w:t>
      </w:r>
      <w:r w:rsidR="00611447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)</w:t>
      </w:r>
    </w:p>
    <w:p w14:paraId="366F62E6" w14:textId="14DA98F7" w:rsidR="00611447" w:rsidRPr="00E634A5" w:rsidRDefault="00E70F0B" w:rsidP="00056075">
      <w:pPr>
        <w:pStyle w:val="Paragraphedeliste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lastRenderedPageBreak/>
        <w:t>Maximis</w:t>
      </w:r>
      <w:r w:rsidR="00B2789C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ation de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 xml:space="preserve"> l’alignement sur d’autres initiatives de nutrition (ex. SUN, AGIR, autre)</w:t>
      </w:r>
    </w:p>
    <w:p w14:paraId="6A31E0E7" w14:textId="2B748289" w:rsidR="005E74ED" w:rsidRPr="00E634A5" w:rsidRDefault="005E74ED" w:rsidP="005E74ED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  <w:lang w:val="fr-FR"/>
        </w:rPr>
      </w:pPr>
      <w:r w:rsidRPr="00E634A5">
        <w:rPr>
          <w:rFonts w:ascii="Times New Roman" w:hAnsi="Times New Roman" w:cs="Times New Roman"/>
          <w:b/>
          <w:bCs/>
          <w:lang w:val="fr-FR"/>
        </w:rPr>
        <w:t xml:space="preserve">Section </w:t>
      </w:r>
      <w:r w:rsidR="004E7509" w:rsidRPr="00E634A5">
        <w:rPr>
          <w:rFonts w:ascii="Times New Roman" w:hAnsi="Times New Roman" w:cs="Times New Roman"/>
          <w:b/>
          <w:bCs/>
          <w:lang w:val="fr-FR"/>
        </w:rPr>
        <w:t>7</w:t>
      </w:r>
      <w:r w:rsidR="00E70F0B" w:rsidRPr="00E634A5">
        <w:rPr>
          <w:rFonts w:ascii="Times New Roman" w:hAnsi="Times New Roman" w:cs="Times New Roman"/>
          <w:b/>
          <w:bCs/>
          <w:lang w:val="fr-FR"/>
        </w:rPr>
        <w:t> </w:t>
      </w:r>
      <w:r w:rsidRPr="00E634A5">
        <w:rPr>
          <w:rFonts w:ascii="Times New Roman" w:hAnsi="Times New Roman" w:cs="Times New Roman"/>
          <w:b/>
          <w:bCs/>
          <w:lang w:val="fr-FR"/>
        </w:rPr>
        <w:t xml:space="preserve">: </w:t>
      </w:r>
      <w:r w:rsidR="00B2789C" w:rsidRPr="00E634A5">
        <w:rPr>
          <w:rFonts w:ascii="Times New Roman" w:hAnsi="Times New Roman" w:cs="Times New Roman"/>
          <w:b/>
          <w:bCs/>
          <w:lang w:val="fr-FR"/>
        </w:rPr>
        <w:t>Mesurer les succès obtenus</w:t>
      </w:r>
      <w:r w:rsidR="007D7731" w:rsidRPr="00E634A5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[</w:t>
      </w:r>
      <w:r w:rsidR="0063194F"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1/2 page</w:t>
      </w:r>
      <w:r w:rsidRPr="00E634A5">
        <w:rPr>
          <w:rFonts w:ascii="Times New Roman" w:hAnsi="Times New Roman" w:cs="Times New Roman"/>
          <w:i/>
          <w:color w:val="365F91" w:themeColor="accent1" w:themeShade="BF"/>
          <w:lang w:val="fr-FR"/>
        </w:rPr>
        <w:t>]</w:t>
      </w:r>
    </w:p>
    <w:p w14:paraId="168DE579" w14:textId="3CC5AF3C" w:rsidR="00241AB1" w:rsidRPr="00E634A5" w:rsidRDefault="00E70F0B" w:rsidP="00241AB1">
      <w:pPr>
        <w:rPr>
          <w:rFonts w:ascii="Times New Roman" w:hAnsi="Times New Roman" w:cs="Times New Roman"/>
          <w:i/>
          <w:color w:val="17365D" w:themeColor="text2" w:themeShade="BF"/>
          <w:lang w:val="fr-FR"/>
        </w:rPr>
      </w:pP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Rappeler brièvement les résultats prioritaires que souhaite obtenir l’ONU en matière de nutrition et comment ils sont alignés sur les résultats </w:t>
      </w:r>
      <w:r w:rsidR="006867A6">
        <w:rPr>
          <w:rFonts w:ascii="Times New Roman" w:hAnsi="Times New Roman" w:cs="Times New Roman"/>
          <w:i/>
          <w:color w:val="17365D" w:themeColor="text2" w:themeShade="BF"/>
          <w:lang w:val="fr-FR"/>
        </w:rPr>
        <w:t>de l’UNDAF</w:t>
      </w: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 (ou </w:t>
      </w:r>
      <w:r w:rsidR="008330E8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équivalent</w:t>
      </w: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), les résultats prioritaires de l’Agenda mondial </w:t>
      </w:r>
      <w:r w:rsidR="007219F2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de</w:t>
      </w: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s Nations Unies pour la nutrition (UNGNA) et les indicateurs de performance </w:t>
      </w:r>
      <w:r w:rsidRPr="00E77A34">
        <w:rPr>
          <w:rFonts w:ascii="Times New Roman" w:hAnsi="Times New Roman" w:cs="Times New Roman"/>
          <w:i/>
          <w:color w:val="17365D" w:themeColor="text2" w:themeShade="BF"/>
          <w:lang w:val="fr-FR"/>
        </w:rPr>
        <w:t>du réseau de l’ONU</w:t>
      </w: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. Échanger sur la façon dont les progrès réalisés seront mesurés et sur les </w:t>
      </w:r>
      <w:r w:rsidR="006D66A5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mesures clés du succès</w:t>
      </w:r>
      <w:r w:rsidR="001D7FE9" w:rsidRPr="00E634A5">
        <w:rPr>
          <w:rStyle w:val="Appelnotedebasdep"/>
          <w:rFonts w:ascii="Times New Roman" w:hAnsi="Times New Roman" w:cs="Times New Roman"/>
          <w:i/>
          <w:color w:val="17365D" w:themeColor="text2" w:themeShade="BF"/>
          <w:lang w:val="fr-FR"/>
        </w:rPr>
        <w:footnoteReference w:id="2"/>
      </w:r>
      <w:r w:rsidR="006D66A5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. Déterminer également qui sera respon</w:t>
      </w:r>
      <w:r w:rsidR="008330E8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sa</w:t>
      </w:r>
      <w:r w:rsidR="006D66A5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ble du processus et </w:t>
      </w:r>
      <w:r w:rsidR="008330E8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perpétuera la stratégie au sein de </w:t>
      </w:r>
      <w:r w:rsidR="006867A6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l’</w:t>
      </w:r>
      <w:r w:rsidR="006867A6">
        <w:rPr>
          <w:rFonts w:ascii="Times New Roman" w:hAnsi="Times New Roman" w:cs="Times New Roman"/>
          <w:i/>
          <w:color w:val="17365D" w:themeColor="text2" w:themeShade="BF"/>
          <w:lang w:val="fr-FR"/>
        </w:rPr>
        <w:t>équipe de pays des Nations Unies (UNCT)</w:t>
      </w:r>
      <w:r w:rsidR="008330E8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. Indiquer si les éléments proposés dans cette stratégie/cet agenda de l’ONU sont réalisables avec les ressources actuelles (financières/techniques) ou s’il sera nécessaire de mobiliser des ressources supplémentaires</w:t>
      </w:r>
      <w:r w:rsidR="001D7FE9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.</w:t>
      </w:r>
    </w:p>
    <w:p w14:paraId="53135EE0" w14:textId="77777777" w:rsidR="001D7FE9" w:rsidRPr="00E634A5" w:rsidRDefault="001D7FE9" w:rsidP="00241AB1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5CA9077B" w14:textId="3E51508C" w:rsidR="008447C5" w:rsidRPr="00E634A5" w:rsidRDefault="001D7FE9" w:rsidP="00241AB1">
      <w:pPr>
        <w:rPr>
          <w:rFonts w:ascii="Times New Roman" w:hAnsi="Times New Roman" w:cs="Times New Roman"/>
          <w:b/>
          <w:u w:val="single"/>
          <w:lang w:val="fr-FR"/>
        </w:rPr>
      </w:pPr>
      <w:r w:rsidRPr="00E634A5">
        <w:rPr>
          <w:rFonts w:ascii="Times New Roman" w:hAnsi="Times New Roman" w:cs="Times New Roman"/>
          <w:b/>
          <w:u w:val="single"/>
          <w:lang w:val="fr-FR"/>
        </w:rPr>
        <w:t>Annexes</w:t>
      </w:r>
      <w:r w:rsidR="00144F5C" w:rsidRPr="00E634A5">
        <w:rPr>
          <w:rFonts w:ascii="Times New Roman" w:hAnsi="Times New Roman" w:cs="Times New Roman"/>
          <w:b/>
          <w:u w:val="single"/>
          <w:lang w:val="fr-FR"/>
        </w:rPr>
        <w:t xml:space="preserve"> (</w:t>
      </w:r>
      <w:r w:rsidR="00B40288" w:rsidRPr="00E634A5">
        <w:rPr>
          <w:rFonts w:ascii="Times New Roman" w:hAnsi="Times New Roman" w:cs="Times New Roman"/>
          <w:b/>
          <w:u w:val="single"/>
          <w:lang w:val="fr-FR"/>
        </w:rPr>
        <w:t>le cas échéant et à faire approuver par les membres du Réseau des Nations Unies</w:t>
      </w:r>
      <w:r w:rsidR="00144F5C" w:rsidRPr="00E634A5">
        <w:rPr>
          <w:rFonts w:ascii="Times New Roman" w:hAnsi="Times New Roman" w:cs="Times New Roman"/>
          <w:b/>
          <w:u w:val="single"/>
          <w:lang w:val="fr-FR"/>
        </w:rPr>
        <w:t>)</w:t>
      </w:r>
    </w:p>
    <w:p w14:paraId="3B83B98B" w14:textId="71726029" w:rsidR="00144F5C" w:rsidRPr="00E77A34" w:rsidRDefault="00B76D08" w:rsidP="001D7FE9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i/>
          <w:color w:val="17365D" w:themeColor="text2" w:themeShade="BF"/>
          <w:lang w:val="fr-FR"/>
        </w:rPr>
      </w:pP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Quelques diapositives clés de l’Inventaire des actions de nutrition de l’ONU pour souligner (a) la concentration géographique de l’ONU par rapport aux niveaux les plus élevés de malnutrition ; (b) l’alignement de l’ONU sur les </w:t>
      </w:r>
      <w:r w:rsidR="00E70F0B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objectifs de la stratégie de nutrition et/ou le plan </w:t>
      </w:r>
      <w:r w:rsidR="00E77A34" w:rsidRPr="00E77A34">
        <w:rPr>
          <w:rFonts w:ascii="Times New Roman" w:hAnsi="Times New Roman" w:cs="Times New Roman"/>
          <w:i/>
          <w:color w:val="17365D" w:themeColor="text2" w:themeShade="BF"/>
          <w:lang w:val="fr-FR"/>
        </w:rPr>
        <w:t>au niveau national</w:t>
      </w:r>
      <w:r w:rsidR="00E77A34">
        <w:rPr>
          <w:rFonts w:ascii="Times New Roman" w:hAnsi="Times New Roman" w:cs="Times New Roman"/>
          <w:i/>
          <w:color w:val="17365D" w:themeColor="text2" w:themeShade="BF"/>
          <w:lang w:val="fr-FR"/>
        </w:rPr>
        <w:t>,</w:t>
      </w:r>
      <w:r w:rsidR="00E77A34" w:rsidRPr="00E77A34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 </w:t>
      </w:r>
      <w:r w:rsidR="00E70F0B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y compris les niveaux d’investissement ; (c) l’alignement de l’ONU sur les actions clés de nutrition au niveau national et/ou sous-national (</w:t>
      </w:r>
      <w:r w:rsidR="00E70F0B" w:rsidRPr="00E77A34">
        <w:rPr>
          <w:rFonts w:ascii="Times New Roman" w:hAnsi="Times New Roman" w:cs="Times New Roman"/>
          <w:i/>
          <w:color w:val="17365D" w:themeColor="text2" w:themeShade="BF"/>
          <w:lang w:val="fr-FR"/>
        </w:rPr>
        <w:t>le cas échéant</w:t>
      </w:r>
      <w:r w:rsidR="00E70F0B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).</w:t>
      </w:r>
    </w:p>
    <w:p w14:paraId="08B71474" w14:textId="77777777" w:rsidR="00144F5C" w:rsidRPr="00E634A5" w:rsidRDefault="00144F5C" w:rsidP="00144F5C">
      <w:pPr>
        <w:pStyle w:val="Paragraphedeliste"/>
        <w:rPr>
          <w:rFonts w:ascii="Times New Roman" w:hAnsi="Times New Roman" w:cs="Times New Roman"/>
          <w:i/>
          <w:color w:val="17365D" w:themeColor="text2" w:themeShade="BF"/>
          <w:u w:val="single"/>
          <w:lang w:val="fr-FR"/>
        </w:rPr>
      </w:pPr>
    </w:p>
    <w:p w14:paraId="4B37918E" w14:textId="30D96E39" w:rsidR="001D7FE9" w:rsidRPr="00E634A5" w:rsidRDefault="00B40288" w:rsidP="001D7FE9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i/>
          <w:color w:val="17365D" w:themeColor="text2" w:themeShade="BF"/>
          <w:u w:val="single"/>
          <w:lang w:val="fr-FR"/>
        </w:rPr>
      </w:pP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Indicateurs clés</w:t>
      </w:r>
      <w:r w:rsidR="007909E7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 (</w:t>
      </w: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et</w:t>
      </w:r>
      <w:r w:rsidR="007909E7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/</w:t>
      </w: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ou cadre logique</w:t>
      </w:r>
      <w:r w:rsidR="007909E7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)</w:t>
      </w:r>
      <w:r w:rsidR="00144F5C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 xml:space="preserve"> </w:t>
      </w: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pour mesurer les progrès réalisés dans la mise en œuvre de la stratégie/l’agenda de l’ONU</w:t>
      </w:r>
      <w:r w:rsidR="00144F5C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.</w:t>
      </w:r>
    </w:p>
    <w:p w14:paraId="5AC107EA" w14:textId="77777777" w:rsidR="00144F5C" w:rsidRPr="00E634A5" w:rsidRDefault="00144F5C" w:rsidP="00144F5C">
      <w:pPr>
        <w:pStyle w:val="Paragraphedeliste"/>
        <w:rPr>
          <w:rFonts w:ascii="Times New Roman" w:hAnsi="Times New Roman" w:cs="Times New Roman"/>
          <w:i/>
          <w:color w:val="17365D" w:themeColor="text2" w:themeShade="BF"/>
          <w:u w:val="single"/>
          <w:lang w:val="fr-FR"/>
        </w:rPr>
      </w:pPr>
    </w:p>
    <w:p w14:paraId="45D2032A" w14:textId="02608226" w:rsidR="00144F5C" w:rsidRPr="00E634A5" w:rsidRDefault="00B40288" w:rsidP="001D7FE9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i/>
          <w:color w:val="17365D" w:themeColor="text2" w:themeShade="BF"/>
          <w:u w:val="single"/>
          <w:lang w:val="fr-FR"/>
        </w:rPr>
      </w:pPr>
      <w:r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Autre</w:t>
      </w:r>
      <w:r w:rsidR="00144F5C" w:rsidRPr="00E634A5">
        <w:rPr>
          <w:rFonts w:ascii="Times New Roman" w:hAnsi="Times New Roman" w:cs="Times New Roman"/>
          <w:i/>
          <w:color w:val="17365D" w:themeColor="text2" w:themeShade="BF"/>
          <w:lang w:val="fr-FR"/>
        </w:rPr>
        <w:t>.</w:t>
      </w:r>
    </w:p>
    <w:sectPr w:rsidR="00144F5C" w:rsidRPr="00E634A5" w:rsidSect="001D7FE9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C923" w14:textId="77777777" w:rsidR="00761329" w:rsidRDefault="00761329" w:rsidP="005C1D1B">
      <w:pPr>
        <w:spacing w:after="0" w:line="240" w:lineRule="auto"/>
      </w:pPr>
      <w:r>
        <w:separator/>
      </w:r>
    </w:p>
  </w:endnote>
  <w:endnote w:type="continuationSeparator" w:id="0">
    <w:p w14:paraId="3F688856" w14:textId="77777777" w:rsidR="00761329" w:rsidRDefault="00761329" w:rsidP="005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85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C746" w14:textId="77777777" w:rsidR="00FA6AEE" w:rsidRDefault="00644B2A">
        <w:pPr>
          <w:pStyle w:val="Pieddepage"/>
          <w:jc w:val="right"/>
        </w:pPr>
        <w:r>
          <w:fldChar w:fldCharType="begin"/>
        </w:r>
        <w:r w:rsidR="00FA6AEE">
          <w:instrText xml:space="preserve"> PAGE   \* MERGEFORMAT </w:instrText>
        </w:r>
        <w:r>
          <w:fldChar w:fldCharType="separate"/>
        </w:r>
        <w:r w:rsidR="00926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1C9E9" w14:textId="77777777" w:rsidR="00FA6AEE" w:rsidRDefault="00FA6A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A370" w14:textId="77777777" w:rsidR="00761329" w:rsidRDefault="00761329" w:rsidP="005C1D1B">
      <w:pPr>
        <w:spacing w:after="0" w:line="240" w:lineRule="auto"/>
      </w:pPr>
      <w:r>
        <w:separator/>
      </w:r>
    </w:p>
  </w:footnote>
  <w:footnote w:type="continuationSeparator" w:id="0">
    <w:p w14:paraId="7C41FC9C" w14:textId="77777777" w:rsidR="00761329" w:rsidRDefault="00761329" w:rsidP="005C1D1B">
      <w:pPr>
        <w:spacing w:after="0" w:line="240" w:lineRule="auto"/>
      </w:pPr>
      <w:r>
        <w:continuationSeparator/>
      </w:r>
    </w:p>
  </w:footnote>
  <w:footnote w:id="1">
    <w:p w14:paraId="60925701" w14:textId="2C808237" w:rsidR="007909E7" w:rsidRPr="00E77A34" w:rsidRDefault="007909E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330E8">
        <w:rPr>
          <w:lang w:val="fr-FR"/>
        </w:rPr>
        <w:t xml:space="preserve"> </w:t>
      </w:r>
      <w:r w:rsidR="008330E8" w:rsidRPr="008330E8">
        <w:rPr>
          <w:lang w:val="fr-FR"/>
        </w:rPr>
        <w:t xml:space="preserve">Les actions </w:t>
      </w:r>
      <w:r w:rsidR="008330E8" w:rsidRPr="00E77A34">
        <w:rPr>
          <w:lang w:val="fr-FR"/>
        </w:rPr>
        <w:t>significatives menées par d’autres acteurs de la nutrition qui ont influencé les décisions de l’ONU en déterminant comment et où concentrer le soutien de l’ONU à la nutrition</w:t>
      </w:r>
      <w:r w:rsidRPr="00E77A34">
        <w:rPr>
          <w:lang w:val="fr-FR"/>
        </w:rPr>
        <w:t>.</w:t>
      </w:r>
    </w:p>
  </w:footnote>
  <w:footnote w:id="2">
    <w:p w14:paraId="64C6234A" w14:textId="63F769B4" w:rsidR="001D7FE9" w:rsidRPr="00645797" w:rsidRDefault="001D7FE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330E8">
        <w:rPr>
          <w:lang w:val="fr-FR"/>
        </w:rPr>
        <w:t xml:space="preserve"> </w:t>
      </w:r>
      <w:r w:rsidR="008330E8" w:rsidRPr="008330E8">
        <w:rPr>
          <w:lang w:val="fr-FR"/>
        </w:rPr>
        <w:t>Le cas échéant et lorsque les membres</w:t>
      </w:r>
      <w:r w:rsidR="00645797">
        <w:rPr>
          <w:lang w:val="fr-FR"/>
        </w:rPr>
        <w:t xml:space="preserve"> du </w:t>
      </w:r>
      <w:r w:rsidR="00645797" w:rsidRPr="00E77A34">
        <w:rPr>
          <w:lang w:val="fr-FR"/>
        </w:rPr>
        <w:t>réseau de l’ONU</w:t>
      </w:r>
      <w:r w:rsidR="008330E8" w:rsidRPr="00E77A34">
        <w:rPr>
          <w:lang w:val="fr-FR"/>
        </w:rPr>
        <w:t xml:space="preserve"> </w:t>
      </w:r>
      <w:r w:rsidR="008330E8" w:rsidRPr="008330E8">
        <w:rPr>
          <w:lang w:val="fr-FR"/>
        </w:rPr>
        <w:t xml:space="preserve">le </w:t>
      </w:r>
      <w:r w:rsidR="008330E8" w:rsidRPr="00E77A34">
        <w:rPr>
          <w:lang w:val="fr-FR"/>
        </w:rPr>
        <w:t xml:space="preserve">jugent </w:t>
      </w:r>
      <w:r w:rsidR="00E77A34" w:rsidRPr="00E77A34">
        <w:rPr>
          <w:lang w:val="fr-FR"/>
        </w:rPr>
        <w:t>pertinent</w:t>
      </w:r>
      <w:r w:rsidR="00645797">
        <w:rPr>
          <w:lang w:val="fr-FR"/>
        </w:rPr>
        <w:t>, ces indicateurs peuvent être intégrés dans un cadre logique en tant qu’annexe</w:t>
      </w:r>
      <w:r w:rsidRPr="0064579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A2D5" w14:textId="1F61304C" w:rsidR="00D67AE5" w:rsidRPr="00B40288" w:rsidRDefault="002B600C" w:rsidP="002B600C">
    <w:pPr>
      <w:pStyle w:val="En-tte"/>
      <w:tabs>
        <w:tab w:val="clear" w:pos="4513"/>
        <w:tab w:val="clear" w:pos="9026"/>
        <w:tab w:val="left" w:pos="3000"/>
      </w:tabs>
      <w:ind w:left="-851"/>
      <w:rPr>
        <w:rFonts w:ascii="Times New Roman" w:hAnsi="Times New Roman" w:cs="Times New Roman"/>
        <w:b/>
        <w:noProof/>
        <w:sz w:val="28"/>
        <w:szCs w:val="28"/>
        <w:lang w:val="fr-FR" w:eastAsia="en-GB"/>
      </w:rPr>
    </w:pPr>
    <w:r w:rsidRPr="002B600C">
      <w:rPr>
        <w:rFonts w:ascii="Times New Roman" w:hAnsi="Times New Roman" w:cs="Times New Roman"/>
        <w:b/>
        <w:noProof/>
        <w:sz w:val="28"/>
        <w:szCs w:val="28"/>
        <w:lang w:val="fr-FR" w:eastAsia="fr-FR"/>
      </w:rPr>
      <w:drawing>
        <wp:inline distT="0" distB="0" distL="0" distR="0" wp14:anchorId="01DC0A37" wp14:editId="7180963A">
          <wp:extent cx="1554480" cy="97155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0288">
      <w:rPr>
        <w:rFonts w:ascii="Times New Roman" w:hAnsi="Times New Roman" w:cs="Times New Roman"/>
        <w:b/>
        <w:noProof/>
        <w:sz w:val="28"/>
        <w:szCs w:val="28"/>
        <w:lang w:val="fr-FR" w:eastAsia="en-GB"/>
      </w:rPr>
      <w:t xml:space="preserve">              </w:t>
    </w:r>
    <w:r w:rsidR="00B40288" w:rsidRPr="00B40288">
      <w:rPr>
        <w:rFonts w:ascii="Times New Roman" w:hAnsi="Times New Roman" w:cs="Times New Roman"/>
        <w:b/>
        <w:noProof/>
        <w:sz w:val="28"/>
        <w:szCs w:val="28"/>
        <w:lang w:val="fr-FR" w:eastAsia="en-GB"/>
      </w:rPr>
      <w:t xml:space="preserve">Stratégie/Agenda de nutrition de l’ONU </w:t>
    </w:r>
    <w:r w:rsidR="007909E7" w:rsidRPr="00B40288">
      <w:rPr>
        <w:rFonts w:ascii="Times New Roman" w:hAnsi="Times New Roman" w:cs="Times New Roman"/>
        <w:b/>
        <w:noProof/>
        <w:sz w:val="28"/>
        <w:szCs w:val="28"/>
        <w:lang w:val="fr-FR" w:eastAsia="en-GB"/>
      </w:rPr>
      <w:t>(</w:t>
    </w:r>
    <w:r w:rsidR="00B40288">
      <w:rPr>
        <w:rFonts w:ascii="Times New Roman" w:hAnsi="Times New Roman" w:cs="Times New Roman"/>
        <w:b/>
        <w:noProof/>
        <w:sz w:val="28"/>
        <w:szCs w:val="28"/>
        <w:lang w:val="fr-FR" w:eastAsia="en-GB"/>
      </w:rPr>
      <w:t>modèle</w:t>
    </w:r>
    <w:r w:rsidR="007909E7" w:rsidRPr="00B40288">
      <w:rPr>
        <w:rFonts w:ascii="Times New Roman" w:hAnsi="Times New Roman" w:cs="Times New Roman"/>
        <w:b/>
        <w:noProof/>
        <w:sz w:val="28"/>
        <w:szCs w:val="28"/>
        <w:lang w:val="fr-FR" w:eastAsia="en-GB"/>
      </w:rPr>
      <w:t>)</w:t>
    </w:r>
  </w:p>
  <w:p w14:paraId="331F9A20" w14:textId="4F645C50" w:rsidR="000323B8" w:rsidRDefault="00B40288" w:rsidP="002B600C">
    <w:pPr>
      <w:pStyle w:val="En-tte"/>
      <w:tabs>
        <w:tab w:val="clear" w:pos="4513"/>
        <w:tab w:val="clear" w:pos="9026"/>
        <w:tab w:val="left" w:pos="3000"/>
      </w:tabs>
      <w:jc w:val="center"/>
    </w:pPr>
    <w:r>
      <w:rPr>
        <w:rFonts w:ascii="Times New Roman" w:hAnsi="Times New Roman" w:cs="Times New Roman"/>
        <w:b/>
        <w:noProof/>
        <w:sz w:val="28"/>
        <w:szCs w:val="28"/>
        <w:lang w:eastAsia="en-GB"/>
      </w:rPr>
      <w:t>PAYS</w:t>
    </w:r>
    <w:r w:rsidR="002B600C">
      <w:rPr>
        <w:rFonts w:ascii="Times New Roman" w:hAnsi="Times New Roman" w:cs="Times New Roman"/>
        <w:b/>
        <w:noProof/>
        <w:sz w:val="28"/>
        <w:szCs w:val="28"/>
        <w:lang w:eastAsia="en-GB"/>
      </w:rPr>
      <w:t xml:space="preserve"> </w:t>
    </w:r>
    <w:r w:rsidR="00FA6AEE" w:rsidRPr="00F265BA">
      <w:rPr>
        <w:rFonts w:ascii="Times New Roman" w:hAnsi="Times New Roman" w:cs="Times New Roman"/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6D101C64" wp14:editId="1E1E19B2">
          <wp:simplePos x="0" y="0"/>
          <wp:positionH relativeFrom="column">
            <wp:posOffset>-914400</wp:posOffset>
          </wp:positionH>
          <wp:positionV relativeFrom="paragraph">
            <wp:posOffset>321310</wp:posOffset>
          </wp:positionV>
          <wp:extent cx="10677525" cy="76200"/>
          <wp:effectExtent l="0" t="0" r="9525" b="0"/>
          <wp:wrapThrough wrapText="bothSides">
            <wp:wrapPolygon edited="0">
              <wp:start x="0" y="0"/>
              <wp:lineTo x="0" y="16200"/>
              <wp:lineTo x="21581" y="16200"/>
              <wp:lineTo x="21581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" r="3774" b="75431"/>
                  <a:stretch/>
                </pic:blipFill>
                <pic:spPr bwMode="auto">
                  <a:xfrm>
                    <a:off x="0" y="0"/>
                    <a:ext cx="10677525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09E7">
      <w:rPr>
        <w:rFonts w:ascii="Times New Roman" w:hAnsi="Times New Roman" w:cs="Times New Roman"/>
        <w:b/>
        <w:noProof/>
        <w:sz w:val="28"/>
        <w:szCs w:val="28"/>
        <w:lang w:eastAsia="en-GB"/>
      </w:rPr>
      <w:t>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4F4"/>
    <w:multiLevelType w:val="hybridMultilevel"/>
    <w:tmpl w:val="F0A45B04"/>
    <w:lvl w:ilvl="0" w:tplc="FFFA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EB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00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C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00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A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D29B6"/>
    <w:multiLevelType w:val="hybridMultilevel"/>
    <w:tmpl w:val="C6C6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6B77"/>
    <w:multiLevelType w:val="hybridMultilevel"/>
    <w:tmpl w:val="839C5658"/>
    <w:lvl w:ilvl="0" w:tplc="E98A1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97A"/>
    <w:multiLevelType w:val="hybridMultilevel"/>
    <w:tmpl w:val="3BF0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1C2E"/>
    <w:multiLevelType w:val="hybridMultilevel"/>
    <w:tmpl w:val="BABA2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5A1F"/>
    <w:multiLevelType w:val="hybridMultilevel"/>
    <w:tmpl w:val="3EE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0BB9"/>
    <w:multiLevelType w:val="hybridMultilevel"/>
    <w:tmpl w:val="D2B0666A"/>
    <w:lvl w:ilvl="0" w:tplc="4184DB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8091C"/>
    <w:multiLevelType w:val="hybridMultilevel"/>
    <w:tmpl w:val="5FFA8992"/>
    <w:lvl w:ilvl="0" w:tplc="33FA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0EB6"/>
    <w:multiLevelType w:val="hybridMultilevel"/>
    <w:tmpl w:val="F9E68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3800"/>
    <w:multiLevelType w:val="hybridMultilevel"/>
    <w:tmpl w:val="1D8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15C4"/>
    <w:multiLevelType w:val="hybridMultilevel"/>
    <w:tmpl w:val="A2448BAE"/>
    <w:lvl w:ilvl="0" w:tplc="7526A0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6634"/>
    <w:multiLevelType w:val="hybridMultilevel"/>
    <w:tmpl w:val="32E8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C0E2E"/>
    <w:multiLevelType w:val="hybridMultilevel"/>
    <w:tmpl w:val="5B649B1A"/>
    <w:lvl w:ilvl="0" w:tplc="A5B6B4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C7675"/>
    <w:multiLevelType w:val="hybridMultilevel"/>
    <w:tmpl w:val="5C1ACC9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2326E1A"/>
    <w:multiLevelType w:val="hybridMultilevel"/>
    <w:tmpl w:val="3B54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24AB1"/>
    <w:multiLevelType w:val="hybridMultilevel"/>
    <w:tmpl w:val="2AE85AA2"/>
    <w:lvl w:ilvl="0" w:tplc="665419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DD4069"/>
    <w:multiLevelType w:val="hybridMultilevel"/>
    <w:tmpl w:val="9BCEA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CB7"/>
    <w:multiLevelType w:val="hybridMultilevel"/>
    <w:tmpl w:val="A936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40ACD"/>
    <w:multiLevelType w:val="hybridMultilevel"/>
    <w:tmpl w:val="85CC4810"/>
    <w:lvl w:ilvl="0" w:tplc="18DAB8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C9F6917"/>
    <w:multiLevelType w:val="hybridMultilevel"/>
    <w:tmpl w:val="4746BC02"/>
    <w:lvl w:ilvl="0" w:tplc="3A8A2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21172"/>
    <w:multiLevelType w:val="hybridMultilevel"/>
    <w:tmpl w:val="B3045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B190A"/>
    <w:multiLevelType w:val="hybridMultilevel"/>
    <w:tmpl w:val="8C5C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2378D"/>
    <w:multiLevelType w:val="hybridMultilevel"/>
    <w:tmpl w:val="ABDA4E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14FA5"/>
    <w:multiLevelType w:val="hybridMultilevel"/>
    <w:tmpl w:val="F7A62A8A"/>
    <w:lvl w:ilvl="0" w:tplc="84B21F88">
      <w:start w:val="1"/>
      <w:numFmt w:val="upperRoman"/>
      <w:lvlText w:val="%1."/>
      <w:lvlJc w:val="right"/>
      <w:pPr>
        <w:ind w:left="1158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>
    <w:nsid w:val="4A2827A0"/>
    <w:multiLevelType w:val="hybridMultilevel"/>
    <w:tmpl w:val="5718BA12"/>
    <w:lvl w:ilvl="0" w:tplc="D25E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318BF"/>
    <w:multiLevelType w:val="hybridMultilevel"/>
    <w:tmpl w:val="10D62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451D5"/>
    <w:multiLevelType w:val="hybridMultilevel"/>
    <w:tmpl w:val="3EC4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B6BC7"/>
    <w:multiLevelType w:val="hybridMultilevel"/>
    <w:tmpl w:val="7C44B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3111E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A25FF"/>
    <w:multiLevelType w:val="hybridMultilevel"/>
    <w:tmpl w:val="6D4C7DC6"/>
    <w:lvl w:ilvl="0" w:tplc="7C94A09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9373C"/>
    <w:multiLevelType w:val="hybridMultilevel"/>
    <w:tmpl w:val="AF3AC168"/>
    <w:lvl w:ilvl="0" w:tplc="556EB356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E73AF"/>
    <w:multiLevelType w:val="hybridMultilevel"/>
    <w:tmpl w:val="1CC64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5708"/>
    <w:multiLevelType w:val="hybridMultilevel"/>
    <w:tmpl w:val="4954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357E2"/>
    <w:multiLevelType w:val="hybridMultilevel"/>
    <w:tmpl w:val="672C9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F1F89"/>
    <w:multiLevelType w:val="hybridMultilevel"/>
    <w:tmpl w:val="2B14EFA4"/>
    <w:lvl w:ilvl="0" w:tplc="19624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A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E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4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FD597F"/>
    <w:multiLevelType w:val="hybridMultilevel"/>
    <w:tmpl w:val="318EA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65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8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5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5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A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2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35"/>
  </w:num>
  <w:num w:numId="3">
    <w:abstractNumId w:val="29"/>
  </w:num>
  <w:num w:numId="4">
    <w:abstractNumId w:val="0"/>
  </w:num>
  <w:num w:numId="5">
    <w:abstractNumId w:val="20"/>
  </w:num>
  <w:num w:numId="6">
    <w:abstractNumId w:val="17"/>
  </w:num>
  <w:num w:numId="7">
    <w:abstractNumId w:val="21"/>
  </w:num>
  <w:num w:numId="8">
    <w:abstractNumId w:val="25"/>
  </w:num>
  <w:num w:numId="9">
    <w:abstractNumId w:val="23"/>
  </w:num>
  <w:num w:numId="10">
    <w:abstractNumId w:val="12"/>
  </w:num>
  <w:num w:numId="11">
    <w:abstractNumId w:val="27"/>
  </w:num>
  <w:num w:numId="12">
    <w:abstractNumId w:val="9"/>
  </w:num>
  <w:num w:numId="13">
    <w:abstractNumId w:val="8"/>
  </w:num>
  <w:num w:numId="14">
    <w:abstractNumId w:val="33"/>
  </w:num>
  <w:num w:numId="15">
    <w:abstractNumId w:val="30"/>
  </w:num>
  <w:num w:numId="16">
    <w:abstractNumId w:val="22"/>
  </w:num>
  <w:num w:numId="17">
    <w:abstractNumId w:val="7"/>
  </w:num>
  <w:num w:numId="18">
    <w:abstractNumId w:val="32"/>
  </w:num>
  <w:num w:numId="19">
    <w:abstractNumId w:val="2"/>
  </w:num>
  <w:num w:numId="20">
    <w:abstractNumId w:val="19"/>
  </w:num>
  <w:num w:numId="21">
    <w:abstractNumId w:val="5"/>
  </w:num>
  <w:num w:numId="22">
    <w:abstractNumId w:val="1"/>
  </w:num>
  <w:num w:numId="23">
    <w:abstractNumId w:val="3"/>
  </w:num>
  <w:num w:numId="24">
    <w:abstractNumId w:val="28"/>
  </w:num>
  <w:num w:numId="25">
    <w:abstractNumId w:val="14"/>
  </w:num>
  <w:num w:numId="26">
    <w:abstractNumId w:val="10"/>
  </w:num>
  <w:num w:numId="27">
    <w:abstractNumId w:val="6"/>
  </w:num>
  <w:num w:numId="28">
    <w:abstractNumId w:val="11"/>
  </w:num>
  <w:num w:numId="29">
    <w:abstractNumId w:val="18"/>
  </w:num>
  <w:num w:numId="30">
    <w:abstractNumId w:val="24"/>
  </w:num>
  <w:num w:numId="31">
    <w:abstractNumId w:val="15"/>
  </w:num>
  <w:num w:numId="32">
    <w:abstractNumId w:val="13"/>
  </w:num>
  <w:num w:numId="33">
    <w:abstractNumId w:val="31"/>
  </w:num>
  <w:num w:numId="34">
    <w:abstractNumId w:val="26"/>
  </w:num>
  <w:num w:numId="35">
    <w:abstractNumId w:val="16"/>
  </w:num>
  <w:num w:numId="3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A"/>
    <w:rsid w:val="0000055D"/>
    <w:rsid w:val="00016F69"/>
    <w:rsid w:val="00020867"/>
    <w:rsid w:val="00022206"/>
    <w:rsid w:val="000323B8"/>
    <w:rsid w:val="00033D18"/>
    <w:rsid w:val="00046C31"/>
    <w:rsid w:val="00054326"/>
    <w:rsid w:val="000550FE"/>
    <w:rsid w:val="00056075"/>
    <w:rsid w:val="00056F5C"/>
    <w:rsid w:val="00057DC6"/>
    <w:rsid w:val="00062E97"/>
    <w:rsid w:val="0006390D"/>
    <w:rsid w:val="00064E9D"/>
    <w:rsid w:val="00072DE8"/>
    <w:rsid w:val="00074D31"/>
    <w:rsid w:val="0008048A"/>
    <w:rsid w:val="00084D8E"/>
    <w:rsid w:val="0008619F"/>
    <w:rsid w:val="00086845"/>
    <w:rsid w:val="000936B9"/>
    <w:rsid w:val="00094BB7"/>
    <w:rsid w:val="00097B93"/>
    <w:rsid w:val="000B254C"/>
    <w:rsid w:val="000B6090"/>
    <w:rsid w:val="000C00D5"/>
    <w:rsid w:val="000D390D"/>
    <w:rsid w:val="000D3ED1"/>
    <w:rsid w:val="000E294D"/>
    <w:rsid w:val="00101AB7"/>
    <w:rsid w:val="00103C7D"/>
    <w:rsid w:val="0011542B"/>
    <w:rsid w:val="0011577A"/>
    <w:rsid w:val="00117FE8"/>
    <w:rsid w:val="00121DF1"/>
    <w:rsid w:val="00137BDA"/>
    <w:rsid w:val="00137C72"/>
    <w:rsid w:val="0014303E"/>
    <w:rsid w:val="00144F5C"/>
    <w:rsid w:val="0015540E"/>
    <w:rsid w:val="001675BA"/>
    <w:rsid w:val="00167D5E"/>
    <w:rsid w:val="00173A52"/>
    <w:rsid w:val="00175CFE"/>
    <w:rsid w:val="00176E1D"/>
    <w:rsid w:val="00183136"/>
    <w:rsid w:val="00184118"/>
    <w:rsid w:val="00190F26"/>
    <w:rsid w:val="001A17B3"/>
    <w:rsid w:val="001C3508"/>
    <w:rsid w:val="001C57C0"/>
    <w:rsid w:val="001D02F7"/>
    <w:rsid w:val="001D0B75"/>
    <w:rsid w:val="001D3A8E"/>
    <w:rsid w:val="001D4040"/>
    <w:rsid w:val="001D436C"/>
    <w:rsid w:val="001D6EE4"/>
    <w:rsid w:val="001D7FE9"/>
    <w:rsid w:val="001E0A3A"/>
    <w:rsid w:val="001E5AF9"/>
    <w:rsid w:val="001E6709"/>
    <w:rsid w:val="001F0916"/>
    <w:rsid w:val="00202974"/>
    <w:rsid w:val="00202E54"/>
    <w:rsid w:val="00233DE4"/>
    <w:rsid w:val="0024163F"/>
    <w:rsid w:val="00241AB1"/>
    <w:rsid w:val="0024730E"/>
    <w:rsid w:val="00250EC5"/>
    <w:rsid w:val="002619E3"/>
    <w:rsid w:val="00265380"/>
    <w:rsid w:val="00267889"/>
    <w:rsid w:val="00271EB3"/>
    <w:rsid w:val="00272D48"/>
    <w:rsid w:val="002773D8"/>
    <w:rsid w:val="00282091"/>
    <w:rsid w:val="00285787"/>
    <w:rsid w:val="00286B6E"/>
    <w:rsid w:val="002939C4"/>
    <w:rsid w:val="00296CCC"/>
    <w:rsid w:val="00297C15"/>
    <w:rsid w:val="002A43B0"/>
    <w:rsid w:val="002A714A"/>
    <w:rsid w:val="002B1073"/>
    <w:rsid w:val="002B5A8C"/>
    <w:rsid w:val="002B5EDB"/>
    <w:rsid w:val="002B600C"/>
    <w:rsid w:val="002B691F"/>
    <w:rsid w:val="002D4B49"/>
    <w:rsid w:val="002D4D81"/>
    <w:rsid w:val="002D4FD0"/>
    <w:rsid w:val="002D724D"/>
    <w:rsid w:val="002F0766"/>
    <w:rsid w:val="002F11CB"/>
    <w:rsid w:val="002F43F3"/>
    <w:rsid w:val="003036B9"/>
    <w:rsid w:val="00303DB2"/>
    <w:rsid w:val="00304054"/>
    <w:rsid w:val="003246D1"/>
    <w:rsid w:val="0032690B"/>
    <w:rsid w:val="00334406"/>
    <w:rsid w:val="00337F36"/>
    <w:rsid w:val="00340289"/>
    <w:rsid w:val="003403F4"/>
    <w:rsid w:val="003424BA"/>
    <w:rsid w:val="00360CB5"/>
    <w:rsid w:val="0036192E"/>
    <w:rsid w:val="0036235F"/>
    <w:rsid w:val="0036351F"/>
    <w:rsid w:val="00372CDC"/>
    <w:rsid w:val="00373B40"/>
    <w:rsid w:val="0037612A"/>
    <w:rsid w:val="00381443"/>
    <w:rsid w:val="00381759"/>
    <w:rsid w:val="00383D54"/>
    <w:rsid w:val="00390DA6"/>
    <w:rsid w:val="0039306A"/>
    <w:rsid w:val="00393789"/>
    <w:rsid w:val="003A19DC"/>
    <w:rsid w:val="003A3DE0"/>
    <w:rsid w:val="003A5577"/>
    <w:rsid w:val="003B50BF"/>
    <w:rsid w:val="003C2ADD"/>
    <w:rsid w:val="003C411A"/>
    <w:rsid w:val="003C4A8F"/>
    <w:rsid w:val="003C590F"/>
    <w:rsid w:val="003E26BB"/>
    <w:rsid w:val="003E4F40"/>
    <w:rsid w:val="003E7895"/>
    <w:rsid w:val="003F3696"/>
    <w:rsid w:val="003F571B"/>
    <w:rsid w:val="0040284E"/>
    <w:rsid w:val="004029DA"/>
    <w:rsid w:val="00404325"/>
    <w:rsid w:val="004057DE"/>
    <w:rsid w:val="004072D3"/>
    <w:rsid w:val="00425AC1"/>
    <w:rsid w:val="00431AB5"/>
    <w:rsid w:val="00433A4C"/>
    <w:rsid w:val="0043483E"/>
    <w:rsid w:val="004418A3"/>
    <w:rsid w:val="004463DF"/>
    <w:rsid w:val="00451086"/>
    <w:rsid w:val="00453CC8"/>
    <w:rsid w:val="004650A4"/>
    <w:rsid w:val="00473151"/>
    <w:rsid w:val="00473553"/>
    <w:rsid w:val="0047607E"/>
    <w:rsid w:val="0047709F"/>
    <w:rsid w:val="00487E92"/>
    <w:rsid w:val="00497083"/>
    <w:rsid w:val="004A0283"/>
    <w:rsid w:val="004B222E"/>
    <w:rsid w:val="004B52C1"/>
    <w:rsid w:val="004C10D8"/>
    <w:rsid w:val="004C3217"/>
    <w:rsid w:val="004C6C16"/>
    <w:rsid w:val="004D53D8"/>
    <w:rsid w:val="004D7C9E"/>
    <w:rsid w:val="004E7509"/>
    <w:rsid w:val="004F3B12"/>
    <w:rsid w:val="005010E9"/>
    <w:rsid w:val="00505F80"/>
    <w:rsid w:val="00507BB0"/>
    <w:rsid w:val="00513153"/>
    <w:rsid w:val="005153F1"/>
    <w:rsid w:val="00520258"/>
    <w:rsid w:val="00521E1D"/>
    <w:rsid w:val="0053431D"/>
    <w:rsid w:val="00537FDA"/>
    <w:rsid w:val="00540BB4"/>
    <w:rsid w:val="005454FF"/>
    <w:rsid w:val="00554E47"/>
    <w:rsid w:val="00563971"/>
    <w:rsid w:val="00571633"/>
    <w:rsid w:val="00571716"/>
    <w:rsid w:val="00582C89"/>
    <w:rsid w:val="00582F09"/>
    <w:rsid w:val="00586A7F"/>
    <w:rsid w:val="0059438A"/>
    <w:rsid w:val="005A0DDB"/>
    <w:rsid w:val="005B07C7"/>
    <w:rsid w:val="005C1D1B"/>
    <w:rsid w:val="005C305F"/>
    <w:rsid w:val="005C4DD8"/>
    <w:rsid w:val="005C7889"/>
    <w:rsid w:val="005C7F50"/>
    <w:rsid w:val="005D163E"/>
    <w:rsid w:val="005D6AD6"/>
    <w:rsid w:val="005D700E"/>
    <w:rsid w:val="005E0FE7"/>
    <w:rsid w:val="005E1DDA"/>
    <w:rsid w:val="005E57E7"/>
    <w:rsid w:val="005E74ED"/>
    <w:rsid w:val="005F425F"/>
    <w:rsid w:val="005F4F7B"/>
    <w:rsid w:val="005F510A"/>
    <w:rsid w:val="005F5C0F"/>
    <w:rsid w:val="005F5C7A"/>
    <w:rsid w:val="005F6BBE"/>
    <w:rsid w:val="005F7FEB"/>
    <w:rsid w:val="0060019D"/>
    <w:rsid w:val="00600513"/>
    <w:rsid w:val="00601F7F"/>
    <w:rsid w:val="0060295A"/>
    <w:rsid w:val="00602AAB"/>
    <w:rsid w:val="00605686"/>
    <w:rsid w:val="006073B7"/>
    <w:rsid w:val="00611447"/>
    <w:rsid w:val="00611EF9"/>
    <w:rsid w:val="00614F23"/>
    <w:rsid w:val="00617B68"/>
    <w:rsid w:val="00620A4E"/>
    <w:rsid w:val="00621637"/>
    <w:rsid w:val="006218D3"/>
    <w:rsid w:val="00623585"/>
    <w:rsid w:val="00624D28"/>
    <w:rsid w:val="0063194F"/>
    <w:rsid w:val="0064132E"/>
    <w:rsid w:val="00644B2A"/>
    <w:rsid w:val="00645797"/>
    <w:rsid w:val="00651B77"/>
    <w:rsid w:val="00651CA4"/>
    <w:rsid w:val="006546DF"/>
    <w:rsid w:val="0066419A"/>
    <w:rsid w:val="00665642"/>
    <w:rsid w:val="00666ACA"/>
    <w:rsid w:val="00675A64"/>
    <w:rsid w:val="00677078"/>
    <w:rsid w:val="0068441A"/>
    <w:rsid w:val="006867A6"/>
    <w:rsid w:val="00687EEC"/>
    <w:rsid w:val="006954C2"/>
    <w:rsid w:val="00695F10"/>
    <w:rsid w:val="006A5AA0"/>
    <w:rsid w:val="006B088D"/>
    <w:rsid w:val="006B6246"/>
    <w:rsid w:val="006C31AC"/>
    <w:rsid w:val="006C3249"/>
    <w:rsid w:val="006C44DA"/>
    <w:rsid w:val="006C5C5B"/>
    <w:rsid w:val="006D66A5"/>
    <w:rsid w:val="006E326F"/>
    <w:rsid w:val="006E42A1"/>
    <w:rsid w:val="006E794D"/>
    <w:rsid w:val="006F37F4"/>
    <w:rsid w:val="006F6E8B"/>
    <w:rsid w:val="006F6FC5"/>
    <w:rsid w:val="0070154F"/>
    <w:rsid w:val="0070680C"/>
    <w:rsid w:val="00714DCF"/>
    <w:rsid w:val="007219F2"/>
    <w:rsid w:val="00737432"/>
    <w:rsid w:val="007455D3"/>
    <w:rsid w:val="00745D19"/>
    <w:rsid w:val="007462FE"/>
    <w:rsid w:val="00746397"/>
    <w:rsid w:val="00746EB6"/>
    <w:rsid w:val="007475F6"/>
    <w:rsid w:val="00761329"/>
    <w:rsid w:val="007649EA"/>
    <w:rsid w:val="00765185"/>
    <w:rsid w:val="00773F2D"/>
    <w:rsid w:val="007909E7"/>
    <w:rsid w:val="007A3F0E"/>
    <w:rsid w:val="007A448C"/>
    <w:rsid w:val="007A64C2"/>
    <w:rsid w:val="007B2BBC"/>
    <w:rsid w:val="007C7DF6"/>
    <w:rsid w:val="007D7715"/>
    <w:rsid w:val="007D7731"/>
    <w:rsid w:val="007E0966"/>
    <w:rsid w:val="007E5A28"/>
    <w:rsid w:val="007F0210"/>
    <w:rsid w:val="007F353D"/>
    <w:rsid w:val="00804369"/>
    <w:rsid w:val="00807C69"/>
    <w:rsid w:val="00817C6F"/>
    <w:rsid w:val="00824C61"/>
    <w:rsid w:val="008330E8"/>
    <w:rsid w:val="00837DAE"/>
    <w:rsid w:val="00840898"/>
    <w:rsid w:val="00840FD7"/>
    <w:rsid w:val="008447C5"/>
    <w:rsid w:val="0084579A"/>
    <w:rsid w:val="0085274B"/>
    <w:rsid w:val="00856BC9"/>
    <w:rsid w:val="008813D9"/>
    <w:rsid w:val="00881F14"/>
    <w:rsid w:val="00882B52"/>
    <w:rsid w:val="00887654"/>
    <w:rsid w:val="00891E6D"/>
    <w:rsid w:val="008972B6"/>
    <w:rsid w:val="008A170E"/>
    <w:rsid w:val="008A3ED8"/>
    <w:rsid w:val="008C1E15"/>
    <w:rsid w:val="008C482B"/>
    <w:rsid w:val="008C4C55"/>
    <w:rsid w:val="008C56F8"/>
    <w:rsid w:val="008D3740"/>
    <w:rsid w:val="008D420A"/>
    <w:rsid w:val="008F0322"/>
    <w:rsid w:val="008F24BF"/>
    <w:rsid w:val="008F4451"/>
    <w:rsid w:val="009113A3"/>
    <w:rsid w:val="00926FDD"/>
    <w:rsid w:val="009462C7"/>
    <w:rsid w:val="00951BD4"/>
    <w:rsid w:val="009551F2"/>
    <w:rsid w:val="009601D2"/>
    <w:rsid w:val="00962F40"/>
    <w:rsid w:val="00966C3A"/>
    <w:rsid w:val="00966D03"/>
    <w:rsid w:val="00980796"/>
    <w:rsid w:val="009924B9"/>
    <w:rsid w:val="00993588"/>
    <w:rsid w:val="00996A6C"/>
    <w:rsid w:val="009A12B3"/>
    <w:rsid w:val="009A433A"/>
    <w:rsid w:val="009A7F16"/>
    <w:rsid w:val="009B45DB"/>
    <w:rsid w:val="009C3006"/>
    <w:rsid w:val="009D2A3A"/>
    <w:rsid w:val="009D2CCD"/>
    <w:rsid w:val="009D5857"/>
    <w:rsid w:val="009D5D56"/>
    <w:rsid w:val="009D7B5D"/>
    <w:rsid w:val="009E1581"/>
    <w:rsid w:val="009E3A44"/>
    <w:rsid w:val="009E6297"/>
    <w:rsid w:val="009E70CF"/>
    <w:rsid w:val="009F26D3"/>
    <w:rsid w:val="009F2D8B"/>
    <w:rsid w:val="009F536C"/>
    <w:rsid w:val="009F5870"/>
    <w:rsid w:val="00A0411F"/>
    <w:rsid w:val="00A053F2"/>
    <w:rsid w:val="00A05A4A"/>
    <w:rsid w:val="00A204E0"/>
    <w:rsid w:val="00A23639"/>
    <w:rsid w:val="00A3008C"/>
    <w:rsid w:val="00A335F0"/>
    <w:rsid w:val="00A401BA"/>
    <w:rsid w:val="00A41E16"/>
    <w:rsid w:val="00A43FF6"/>
    <w:rsid w:val="00A51FCB"/>
    <w:rsid w:val="00A53654"/>
    <w:rsid w:val="00A66338"/>
    <w:rsid w:val="00A672D6"/>
    <w:rsid w:val="00A7444D"/>
    <w:rsid w:val="00A75DF9"/>
    <w:rsid w:val="00A817F6"/>
    <w:rsid w:val="00A8272F"/>
    <w:rsid w:val="00A83080"/>
    <w:rsid w:val="00A83B5A"/>
    <w:rsid w:val="00A87E7B"/>
    <w:rsid w:val="00A9083E"/>
    <w:rsid w:val="00A96D3A"/>
    <w:rsid w:val="00AA395A"/>
    <w:rsid w:val="00AB6DA5"/>
    <w:rsid w:val="00AC25C2"/>
    <w:rsid w:val="00AC5725"/>
    <w:rsid w:val="00AC58AC"/>
    <w:rsid w:val="00AD0797"/>
    <w:rsid w:val="00AD0829"/>
    <w:rsid w:val="00AD085E"/>
    <w:rsid w:val="00AD4226"/>
    <w:rsid w:val="00AE052D"/>
    <w:rsid w:val="00AE1D39"/>
    <w:rsid w:val="00AE6EEC"/>
    <w:rsid w:val="00AF1AF5"/>
    <w:rsid w:val="00B00456"/>
    <w:rsid w:val="00B02698"/>
    <w:rsid w:val="00B062EC"/>
    <w:rsid w:val="00B06580"/>
    <w:rsid w:val="00B07F82"/>
    <w:rsid w:val="00B26865"/>
    <w:rsid w:val="00B2789C"/>
    <w:rsid w:val="00B31179"/>
    <w:rsid w:val="00B369D6"/>
    <w:rsid w:val="00B40288"/>
    <w:rsid w:val="00B406D4"/>
    <w:rsid w:val="00B41588"/>
    <w:rsid w:val="00B468C3"/>
    <w:rsid w:val="00B5068A"/>
    <w:rsid w:val="00B50C8A"/>
    <w:rsid w:val="00B50F73"/>
    <w:rsid w:val="00B542D2"/>
    <w:rsid w:val="00B54A46"/>
    <w:rsid w:val="00B64C67"/>
    <w:rsid w:val="00B678DC"/>
    <w:rsid w:val="00B768E9"/>
    <w:rsid w:val="00B76D08"/>
    <w:rsid w:val="00B819B3"/>
    <w:rsid w:val="00B8241A"/>
    <w:rsid w:val="00B85758"/>
    <w:rsid w:val="00B9240D"/>
    <w:rsid w:val="00BB3B51"/>
    <w:rsid w:val="00BC1BEE"/>
    <w:rsid w:val="00BC5D7D"/>
    <w:rsid w:val="00BC7DCB"/>
    <w:rsid w:val="00BD6EAF"/>
    <w:rsid w:val="00BE6D09"/>
    <w:rsid w:val="00C02F98"/>
    <w:rsid w:val="00C05258"/>
    <w:rsid w:val="00C05A56"/>
    <w:rsid w:val="00C065CF"/>
    <w:rsid w:val="00C12386"/>
    <w:rsid w:val="00C141F4"/>
    <w:rsid w:val="00C25304"/>
    <w:rsid w:val="00C34EB6"/>
    <w:rsid w:val="00C4238C"/>
    <w:rsid w:val="00C44DDB"/>
    <w:rsid w:val="00C53BCE"/>
    <w:rsid w:val="00C5663E"/>
    <w:rsid w:val="00C659D8"/>
    <w:rsid w:val="00C76E0F"/>
    <w:rsid w:val="00C8625D"/>
    <w:rsid w:val="00C93E4C"/>
    <w:rsid w:val="00C95CDA"/>
    <w:rsid w:val="00CA0475"/>
    <w:rsid w:val="00CB6553"/>
    <w:rsid w:val="00CB69AC"/>
    <w:rsid w:val="00CC09BD"/>
    <w:rsid w:val="00CD24B2"/>
    <w:rsid w:val="00CD412D"/>
    <w:rsid w:val="00CE1293"/>
    <w:rsid w:val="00CE1685"/>
    <w:rsid w:val="00CE176D"/>
    <w:rsid w:val="00CE2F2D"/>
    <w:rsid w:val="00CF6807"/>
    <w:rsid w:val="00D000A6"/>
    <w:rsid w:val="00D0134E"/>
    <w:rsid w:val="00D027E3"/>
    <w:rsid w:val="00D11394"/>
    <w:rsid w:val="00D27950"/>
    <w:rsid w:val="00D3051E"/>
    <w:rsid w:val="00D344E7"/>
    <w:rsid w:val="00D37679"/>
    <w:rsid w:val="00D5324F"/>
    <w:rsid w:val="00D55AC7"/>
    <w:rsid w:val="00D60543"/>
    <w:rsid w:val="00D61198"/>
    <w:rsid w:val="00D67AE5"/>
    <w:rsid w:val="00D74BEC"/>
    <w:rsid w:val="00D7596E"/>
    <w:rsid w:val="00D83CBB"/>
    <w:rsid w:val="00D9307E"/>
    <w:rsid w:val="00D934D0"/>
    <w:rsid w:val="00D9356C"/>
    <w:rsid w:val="00D96559"/>
    <w:rsid w:val="00D97E7E"/>
    <w:rsid w:val="00DA136F"/>
    <w:rsid w:val="00DB767B"/>
    <w:rsid w:val="00DC6FE9"/>
    <w:rsid w:val="00DC7AFC"/>
    <w:rsid w:val="00DD5DC6"/>
    <w:rsid w:val="00DD6F0A"/>
    <w:rsid w:val="00DD72F6"/>
    <w:rsid w:val="00DE0D05"/>
    <w:rsid w:val="00DE6253"/>
    <w:rsid w:val="00DF28C4"/>
    <w:rsid w:val="00DF5691"/>
    <w:rsid w:val="00DF6E5D"/>
    <w:rsid w:val="00E008FC"/>
    <w:rsid w:val="00E01647"/>
    <w:rsid w:val="00E071DD"/>
    <w:rsid w:val="00E17DCC"/>
    <w:rsid w:val="00E21AC9"/>
    <w:rsid w:val="00E24A2A"/>
    <w:rsid w:val="00E26972"/>
    <w:rsid w:val="00E32883"/>
    <w:rsid w:val="00E571FF"/>
    <w:rsid w:val="00E6077E"/>
    <w:rsid w:val="00E62754"/>
    <w:rsid w:val="00E634A5"/>
    <w:rsid w:val="00E64E6B"/>
    <w:rsid w:val="00E70F0B"/>
    <w:rsid w:val="00E72ACE"/>
    <w:rsid w:val="00E75A6B"/>
    <w:rsid w:val="00E77A34"/>
    <w:rsid w:val="00E810F1"/>
    <w:rsid w:val="00E92E87"/>
    <w:rsid w:val="00E964D5"/>
    <w:rsid w:val="00EA30D3"/>
    <w:rsid w:val="00EA38F4"/>
    <w:rsid w:val="00EB0AC0"/>
    <w:rsid w:val="00EB140A"/>
    <w:rsid w:val="00EB2981"/>
    <w:rsid w:val="00EB433B"/>
    <w:rsid w:val="00EB7184"/>
    <w:rsid w:val="00EC5C44"/>
    <w:rsid w:val="00EC6205"/>
    <w:rsid w:val="00EC6403"/>
    <w:rsid w:val="00ED7158"/>
    <w:rsid w:val="00EE054B"/>
    <w:rsid w:val="00EE56B7"/>
    <w:rsid w:val="00F0156A"/>
    <w:rsid w:val="00F027E0"/>
    <w:rsid w:val="00F03164"/>
    <w:rsid w:val="00F075ED"/>
    <w:rsid w:val="00F109D2"/>
    <w:rsid w:val="00F14FCE"/>
    <w:rsid w:val="00F165F6"/>
    <w:rsid w:val="00F17994"/>
    <w:rsid w:val="00F23E60"/>
    <w:rsid w:val="00F24425"/>
    <w:rsid w:val="00F265BA"/>
    <w:rsid w:val="00F30A79"/>
    <w:rsid w:val="00F41C1F"/>
    <w:rsid w:val="00F46683"/>
    <w:rsid w:val="00F50DBA"/>
    <w:rsid w:val="00F56696"/>
    <w:rsid w:val="00F64D1B"/>
    <w:rsid w:val="00F65F44"/>
    <w:rsid w:val="00F851BD"/>
    <w:rsid w:val="00F8618D"/>
    <w:rsid w:val="00F87645"/>
    <w:rsid w:val="00F9214E"/>
    <w:rsid w:val="00FA00BF"/>
    <w:rsid w:val="00FA15E5"/>
    <w:rsid w:val="00FA6AEE"/>
    <w:rsid w:val="00FA6B0F"/>
    <w:rsid w:val="00FA72CD"/>
    <w:rsid w:val="00FB6857"/>
    <w:rsid w:val="00FC6DA4"/>
    <w:rsid w:val="00FD059E"/>
    <w:rsid w:val="00FD573F"/>
    <w:rsid w:val="00FE1D3C"/>
    <w:rsid w:val="00FE6A7E"/>
    <w:rsid w:val="00FE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3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14A"/>
    <w:pPr>
      <w:ind w:left="720"/>
      <w:contextualSpacing/>
    </w:pPr>
  </w:style>
  <w:style w:type="character" w:styleId="Marquedecommentaire">
    <w:name w:val="annotation reference"/>
    <w:uiPriority w:val="99"/>
    <w:unhideWhenUsed/>
    <w:rsid w:val="00285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787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78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578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D1B"/>
  </w:style>
  <w:style w:type="paragraph" w:styleId="Pieddepage">
    <w:name w:val="footer"/>
    <w:basedOn w:val="Normal"/>
    <w:link w:val="Pieddepag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D1B"/>
  </w:style>
  <w:style w:type="character" w:customStyle="1" w:styleId="apple-converted-space">
    <w:name w:val="apple-converted-space"/>
    <w:rsid w:val="007F353D"/>
  </w:style>
  <w:style w:type="paragraph" w:styleId="NormalWeb">
    <w:name w:val="Normal (Web)"/>
    <w:basedOn w:val="Normal"/>
    <w:uiPriority w:val="99"/>
    <w:semiHidden/>
    <w:unhideWhenUsed/>
    <w:rsid w:val="007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454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54FF"/>
    <w:rPr>
      <w:rFonts w:ascii="Calibri" w:eastAsia="Calibri" w:hAnsi="Calibri" w:cs="Times New Roman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2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2E54"/>
    <w:pPr>
      <w:outlineLvl w:val="9"/>
    </w:pPr>
    <w:rPr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202E5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02E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0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202E5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773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F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7475F6"/>
    <w:pPr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7475F6"/>
    <w:rPr>
      <w:sz w:val="20"/>
      <w:szCs w:val="20"/>
      <w:lang w:val="en-US"/>
    </w:rPr>
  </w:style>
  <w:style w:type="character" w:styleId="Appelnotedebasdep">
    <w:name w:val="footnote reference"/>
    <w:basedOn w:val="Policepardfaut"/>
    <w:unhideWhenUsed/>
    <w:rsid w:val="007475F6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E008FC"/>
    <w:pPr>
      <w:spacing w:after="0"/>
    </w:pPr>
    <w:rPr>
      <w:rFonts w:ascii="Calibri" w:eastAsia="SimSun" w:hAnsi="Calibri" w:cs="Arial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08FC"/>
    <w:rPr>
      <w:rFonts w:ascii="Calibri" w:eastAsia="SimSun" w:hAnsi="Calibri" w:cs="Arial"/>
      <w:lang w:val="en-US" w:eastAsia="zh-CN"/>
    </w:rPr>
  </w:style>
  <w:style w:type="character" w:styleId="lev">
    <w:name w:val="Strong"/>
    <w:basedOn w:val="Policepardfaut"/>
    <w:uiPriority w:val="22"/>
    <w:qFormat/>
    <w:rsid w:val="00E008FC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A96D3A"/>
  </w:style>
  <w:style w:type="paragraph" w:styleId="TM3">
    <w:name w:val="toc 3"/>
    <w:basedOn w:val="Normal"/>
    <w:next w:val="Normal"/>
    <w:autoRedefine/>
    <w:uiPriority w:val="39"/>
    <w:unhideWhenUsed/>
    <w:rsid w:val="00DD6F0A"/>
    <w:pPr>
      <w:spacing w:after="100"/>
      <w:ind w:left="44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F0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F0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14A"/>
    <w:pPr>
      <w:ind w:left="720"/>
      <w:contextualSpacing/>
    </w:pPr>
  </w:style>
  <w:style w:type="character" w:styleId="Marquedecommentaire">
    <w:name w:val="annotation reference"/>
    <w:uiPriority w:val="99"/>
    <w:unhideWhenUsed/>
    <w:rsid w:val="00285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787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78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578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D1B"/>
  </w:style>
  <w:style w:type="paragraph" w:styleId="Pieddepage">
    <w:name w:val="footer"/>
    <w:basedOn w:val="Normal"/>
    <w:link w:val="Pieddepag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D1B"/>
  </w:style>
  <w:style w:type="character" w:customStyle="1" w:styleId="apple-converted-space">
    <w:name w:val="apple-converted-space"/>
    <w:rsid w:val="007F353D"/>
  </w:style>
  <w:style w:type="paragraph" w:styleId="NormalWeb">
    <w:name w:val="Normal (Web)"/>
    <w:basedOn w:val="Normal"/>
    <w:uiPriority w:val="99"/>
    <w:semiHidden/>
    <w:unhideWhenUsed/>
    <w:rsid w:val="007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454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54FF"/>
    <w:rPr>
      <w:rFonts w:ascii="Calibri" w:eastAsia="Calibri" w:hAnsi="Calibri" w:cs="Times New Roman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2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2E54"/>
    <w:pPr>
      <w:outlineLvl w:val="9"/>
    </w:pPr>
    <w:rPr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202E5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02E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0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202E5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773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F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7475F6"/>
    <w:pPr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7475F6"/>
    <w:rPr>
      <w:sz w:val="20"/>
      <w:szCs w:val="20"/>
      <w:lang w:val="en-US"/>
    </w:rPr>
  </w:style>
  <w:style w:type="character" w:styleId="Appelnotedebasdep">
    <w:name w:val="footnote reference"/>
    <w:basedOn w:val="Policepardfaut"/>
    <w:unhideWhenUsed/>
    <w:rsid w:val="007475F6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E008FC"/>
    <w:pPr>
      <w:spacing w:after="0"/>
    </w:pPr>
    <w:rPr>
      <w:rFonts w:ascii="Calibri" w:eastAsia="SimSun" w:hAnsi="Calibri" w:cs="Arial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08FC"/>
    <w:rPr>
      <w:rFonts w:ascii="Calibri" w:eastAsia="SimSun" w:hAnsi="Calibri" w:cs="Arial"/>
      <w:lang w:val="en-US" w:eastAsia="zh-CN"/>
    </w:rPr>
  </w:style>
  <w:style w:type="character" w:styleId="lev">
    <w:name w:val="Strong"/>
    <w:basedOn w:val="Policepardfaut"/>
    <w:uiPriority w:val="22"/>
    <w:qFormat/>
    <w:rsid w:val="00E008FC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A96D3A"/>
  </w:style>
  <w:style w:type="paragraph" w:styleId="TM3">
    <w:name w:val="toc 3"/>
    <w:basedOn w:val="Normal"/>
    <w:next w:val="Normal"/>
    <w:autoRedefine/>
    <w:uiPriority w:val="39"/>
    <w:unhideWhenUsed/>
    <w:rsid w:val="00DD6F0A"/>
    <w:pPr>
      <w:spacing w:after="100"/>
      <w:ind w:left="44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F0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F0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166D-6683-466E-A626-91D66A81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1099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FANZO Jessica;Mayte Perea López</dc:creator>
  <cp:lastModifiedBy>Mayte Perea López</cp:lastModifiedBy>
  <cp:revision>3</cp:revision>
  <cp:lastPrinted>2015-01-21T12:32:00Z</cp:lastPrinted>
  <dcterms:created xsi:type="dcterms:W3CDTF">2015-12-17T10:15:00Z</dcterms:created>
  <dcterms:modified xsi:type="dcterms:W3CDTF">2015-12-17T10:25:00Z</dcterms:modified>
</cp:coreProperties>
</file>