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E46B1" w14:textId="77777777" w:rsidR="00864D61" w:rsidRDefault="00090B27" w:rsidP="00864D61">
      <w:pPr>
        <w:spacing w:after="0"/>
        <w:jc w:val="center"/>
        <w:rPr>
          <w:b/>
          <w:color w:val="ED7D31" w:themeColor="accent2"/>
          <w:sz w:val="24"/>
          <w:szCs w:val="24"/>
        </w:rPr>
      </w:pPr>
      <w:r w:rsidRPr="00440BA8">
        <w:rPr>
          <w:b/>
          <w:color w:val="ED7D31" w:themeColor="accent2"/>
          <w:sz w:val="24"/>
          <w:szCs w:val="24"/>
        </w:rPr>
        <w:t xml:space="preserve">Conference call (16 July 2014): </w:t>
      </w:r>
    </w:p>
    <w:p w14:paraId="69C782AB" w14:textId="324AE8BE" w:rsidR="00090B27" w:rsidRPr="00440BA8" w:rsidRDefault="00090B27" w:rsidP="00864D61">
      <w:pPr>
        <w:spacing w:after="0"/>
        <w:jc w:val="center"/>
        <w:rPr>
          <w:b/>
          <w:color w:val="ED7D31" w:themeColor="accent2"/>
          <w:sz w:val="24"/>
          <w:szCs w:val="24"/>
        </w:rPr>
      </w:pPr>
      <w:r w:rsidRPr="00440BA8">
        <w:rPr>
          <w:b/>
          <w:color w:val="ED7D31" w:themeColor="accent2"/>
          <w:sz w:val="24"/>
          <w:szCs w:val="24"/>
        </w:rPr>
        <w:t>Follow-up of the 2013 November Nairobi Workshop on Costing and Financial Tracking</w:t>
      </w:r>
    </w:p>
    <w:p w14:paraId="25ECB742" w14:textId="77777777" w:rsidR="00090B27" w:rsidRPr="00440BA8" w:rsidRDefault="00090B27" w:rsidP="00090B27">
      <w:pPr>
        <w:spacing w:after="0"/>
        <w:rPr>
          <w:color w:val="ED7D31" w:themeColor="accent2"/>
          <w:sz w:val="20"/>
          <w:szCs w:val="20"/>
        </w:rPr>
      </w:pPr>
      <w:r w:rsidRPr="00440BA8">
        <w:rPr>
          <w:color w:val="ED7D31" w:themeColor="accent2"/>
          <w:sz w:val="20"/>
          <w:szCs w:val="20"/>
        </w:rPr>
        <w:t xml:space="preserve">Community of Practice (CoP 1) on Planning, Costing, Implementing and Financing </w:t>
      </w:r>
      <w:r w:rsidR="008846AA" w:rsidRPr="00440BA8">
        <w:rPr>
          <w:color w:val="ED7D31" w:themeColor="accent2"/>
          <w:sz w:val="20"/>
          <w:szCs w:val="20"/>
        </w:rPr>
        <w:t>M</w:t>
      </w:r>
      <w:r w:rsidRPr="00440BA8">
        <w:rPr>
          <w:color w:val="ED7D31" w:themeColor="accent2"/>
          <w:sz w:val="20"/>
          <w:szCs w:val="20"/>
        </w:rPr>
        <w:t>ulti-</w:t>
      </w:r>
      <w:r w:rsidR="008846AA" w:rsidRPr="00440BA8">
        <w:rPr>
          <w:color w:val="ED7D31" w:themeColor="accent2"/>
          <w:sz w:val="20"/>
          <w:szCs w:val="20"/>
        </w:rPr>
        <w:t>S</w:t>
      </w:r>
      <w:r w:rsidRPr="00440BA8">
        <w:rPr>
          <w:color w:val="ED7D31" w:themeColor="accent2"/>
          <w:sz w:val="20"/>
          <w:szCs w:val="20"/>
        </w:rPr>
        <w:t xml:space="preserve">ector </w:t>
      </w:r>
      <w:r w:rsidR="008846AA" w:rsidRPr="00440BA8">
        <w:rPr>
          <w:color w:val="ED7D31" w:themeColor="accent2"/>
          <w:sz w:val="20"/>
          <w:szCs w:val="20"/>
        </w:rPr>
        <w:t>Actions for Improved N</w:t>
      </w:r>
      <w:r w:rsidRPr="00440BA8">
        <w:rPr>
          <w:color w:val="ED7D31" w:themeColor="accent2"/>
          <w:sz w:val="20"/>
          <w:szCs w:val="20"/>
        </w:rPr>
        <w:t>utrition</w:t>
      </w:r>
    </w:p>
    <w:p w14:paraId="053F305A" w14:textId="77777777" w:rsidR="00090B27" w:rsidRDefault="00090B27" w:rsidP="00090B27">
      <w:pPr>
        <w:spacing w:after="0"/>
        <w:rPr>
          <w:color w:val="ED7D31" w:themeColor="accent2"/>
        </w:rPr>
      </w:pPr>
    </w:p>
    <w:p w14:paraId="642EAA36" w14:textId="77777777" w:rsidR="000F77EE" w:rsidRDefault="000F77EE" w:rsidP="00440BA8">
      <w:pPr>
        <w:pStyle w:val="ListParagraph"/>
        <w:numPr>
          <w:ilvl w:val="0"/>
          <w:numId w:val="2"/>
        </w:numPr>
        <w:spacing w:after="0" w:line="240" w:lineRule="exact"/>
        <w:rPr>
          <w:color w:val="ED7D31" w:themeColor="accent2"/>
        </w:rPr>
      </w:pPr>
      <w:r>
        <w:rPr>
          <w:color w:val="ED7D31" w:themeColor="accent2"/>
        </w:rPr>
        <w:t>Key points</w:t>
      </w:r>
    </w:p>
    <w:p w14:paraId="6D44B853" w14:textId="77777777" w:rsidR="00555E8B" w:rsidRPr="00CD783E" w:rsidRDefault="00555E8B" w:rsidP="00440BA8">
      <w:pPr>
        <w:pStyle w:val="ListParagraph"/>
        <w:numPr>
          <w:ilvl w:val="0"/>
          <w:numId w:val="5"/>
        </w:numPr>
        <w:spacing w:after="0" w:line="240" w:lineRule="exact"/>
      </w:pPr>
      <w:r w:rsidRPr="00CD783E">
        <w:t xml:space="preserve">The main expected outcome from this conference call was to build agreement on the methodologies that will </w:t>
      </w:r>
      <w:r w:rsidR="00291AB3">
        <w:t xml:space="preserve">be </w:t>
      </w:r>
      <w:r w:rsidRPr="00CD783E">
        <w:t xml:space="preserve">commonly used and to discuss next steps in costing and financial tracking leading up to the </w:t>
      </w:r>
      <w:r w:rsidR="00291AB3">
        <w:t xml:space="preserve">SUN Movement </w:t>
      </w:r>
      <w:r w:rsidRPr="00CD783E">
        <w:t>Global Gathering in November 2014.</w:t>
      </w:r>
    </w:p>
    <w:p w14:paraId="006038C6" w14:textId="77777777" w:rsidR="00555E8B" w:rsidRPr="00CD783E" w:rsidRDefault="00555E8B" w:rsidP="00440BA8">
      <w:pPr>
        <w:pStyle w:val="ListParagraph"/>
        <w:numPr>
          <w:ilvl w:val="0"/>
          <w:numId w:val="5"/>
        </w:numPr>
        <w:spacing w:after="0" w:line="240" w:lineRule="exact"/>
      </w:pPr>
      <w:r w:rsidRPr="00CD783E">
        <w:t xml:space="preserve">Emerging </w:t>
      </w:r>
      <w:r w:rsidRPr="00CD783E">
        <w:rPr>
          <w:b/>
        </w:rPr>
        <w:t>minimum criteria</w:t>
      </w:r>
      <w:r w:rsidRPr="00CD783E">
        <w:t xml:space="preserve"> for the Community of Practice are:</w:t>
      </w:r>
    </w:p>
    <w:p w14:paraId="066EB7B5" w14:textId="77777777" w:rsidR="00555E8B" w:rsidRPr="00CD783E" w:rsidRDefault="00555E8B" w:rsidP="00864D61">
      <w:pPr>
        <w:pStyle w:val="ListParagraph"/>
        <w:numPr>
          <w:ilvl w:val="1"/>
          <w:numId w:val="5"/>
        </w:numPr>
        <w:spacing w:after="0" w:line="240" w:lineRule="exact"/>
      </w:pPr>
      <w:r w:rsidRPr="00CD783E">
        <w:t xml:space="preserve">On </w:t>
      </w:r>
      <w:r w:rsidRPr="00440BA8">
        <w:rPr>
          <w:b/>
        </w:rPr>
        <w:t>costing</w:t>
      </w:r>
      <w:r w:rsidRPr="00CD783E">
        <w:t xml:space="preserve">: </w:t>
      </w:r>
    </w:p>
    <w:p w14:paraId="608A61F0" w14:textId="7EB3D71C" w:rsidR="0036686C" w:rsidRDefault="0036686C" w:rsidP="00864D61">
      <w:pPr>
        <w:pStyle w:val="ListParagraph"/>
        <w:numPr>
          <w:ilvl w:val="2"/>
          <w:numId w:val="5"/>
        </w:numPr>
        <w:spacing w:after="0" w:line="240" w:lineRule="exact"/>
      </w:pPr>
      <w:r w:rsidRPr="00CD783E">
        <w:t>Use unit costs</w:t>
      </w:r>
      <w:r w:rsidR="00EA015D">
        <w:t xml:space="preserve"> per implementation target</w:t>
      </w:r>
      <w:r w:rsidRPr="00CD783E">
        <w:t>.</w:t>
      </w:r>
    </w:p>
    <w:p w14:paraId="15EA3EC7" w14:textId="77777777" w:rsidR="0017062E" w:rsidRPr="00CD783E" w:rsidRDefault="0017062E" w:rsidP="0017062E">
      <w:pPr>
        <w:pStyle w:val="ListParagraph"/>
        <w:numPr>
          <w:ilvl w:val="2"/>
          <w:numId w:val="5"/>
        </w:numPr>
        <w:spacing w:after="0" w:line="240" w:lineRule="exact"/>
      </w:pPr>
      <w:r>
        <w:t>Make explicit the assumptions and methodologies/calculations used to identify unit costs.</w:t>
      </w:r>
    </w:p>
    <w:p w14:paraId="37DC0B77" w14:textId="54504176" w:rsidR="0036686C" w:rsidRPr="00CD783E" w:rsidRDefault="0036686C" w:rsidP="00864D61">
      <w:pPr>
        <w:pStyle w:val="ListParagraph"/>
        <w:numPr>
          <w:ilvl w:val="2"/>
          <w:numId w:val="5"/>
        </w:numPr>
        <w:spacing w:after="0" w:line="240" w:lineRule="exact"/>
      </w:pPr>
      <w:r w:rsidRPr="00CD783E">
        <w:t>Make explicit the final target coverage (this should implicitly include current spending</w:t>
      </w:r>
      <w:r w:rsidR="00EA015D">
        <w:t>/current number of beneficiaries</w:t>
      </w:r>
      <w:r w:rsidRPr="00CD783E">
        <w:t xml:space="preserve">). </w:t>
      </w:r>
    </w:p>
    <w:p w14:paraId="0FB0AEAC" w14:textId="77777777" w:rsidR="0036686C" w:rsidRPr="00CD783E" w:rsidRDefault="0036686C" w:rsidP="00864D61">
      <w:pPr>
        <w:pStyle w:val="ListParagraph"/>
        <w:numPr>
          <w:ilvl w:val="2"/>
          <w:numId w:val="5"/>
        </w:numPr>
        <w:spacing w:after="0" w:line="240" w:lineRule="exact"/>
      </w:pPr>
      <w:r w:rsidRPr="00CD783E">
        <w:t xml:space="preserve">Make explicit the costs for governance </w:t>
      </w:r>
      <w:r w:rsidRPr="00CD783E">
        <w:rPr>
          <w:i/>
        </w:rPr>
        <w:t>across</w:t>
      </w:r>
      <w:r w:rsidRPr="00CD783E">
        <w:t xml:space="preserve"> sectors (this would include </w:t>
      </w:r>
      <w:r w:rsidR="009077B5" w:rsidRPr="00CD783E">
        <w:t xml:space="preserve">costs for </w:t>
      </w:r>
      <w:r w:rsidRPr="00CD783E">
        <w:t xml:space="preserve">joint planning, coordination, M&amp;E, operational research, </w:t>
      </w:r>
      <w:r w:rsidR="009077B5" w:rsidRPr="00CD783E">
        <w:t>capacity building</w:t>
      </w:r>
      <w:r w:rsidR="00CD783E" w:rsidRPr="00CD783E">
        <w:t xml:space="preserve">, </w:t>
      </w:r>
      <w:r w:rsidRPr="00CD783E">
        <w:t>advocacy and communications).</w:t>
      </w:r>
    </w:p>
    <w:p w14:paraId="0829B92E" w14:textId="77777777" w:rsidR="0036686C" w:rsidRPr="00CD783E" w:rsidRDefault="0036686C" w:rsidP="00864D61">
      <w:pPr>
        <w:pStyle w:val="ListParagraph"/>
        <w:numPr>
          <w:ilvl w:val="1"/>
          <w:numId w:val="5"/>
        </w:numPr>
        <w:spacing w:after="0" w:line="240" w:lineRule="exact"/>
      </w:pPr>
      <w:r w:rsidRPr="00CD783E">
        <w:t xml:space="preserve">On </w:t>
      </w:r>
      <w:r w:rsidRPr="00440BA8">
        <w:rPr>
          <w:b/>
        </w:rPr>
        <w:t>tracking of Government resources</w:t>
      </w:r>
      <w:r w:rsidRPr="00CD783E">
        <w:t xml:space="preserve">: </w:t>
      </w:r>
    </w:p>
    <w:p w14:paraId="43B1D222" w14:textId="77777777" w:rsidR="00291AB3" w:rsidRDefault="0036686C" w:rsidP="00864D61">
      <w:pPr>
        <w:pStyle w:val="ListParagraph"/>
        <w:numPr>
          <w:ilvl w:val="2"/>
          <w:numId w:val="5"/>
        </w:numPr>
        <w:spacing w:after="0" w:line="240" w:lineRule="exact"/>
      </w:pPr>
      <w:r w:rsidRPr="00CD783E">
        <w:t>Use the national government budgets</w:t>
      </w:r>
      <w:r w:rsidR="00291AB3">
        <w:t xml:space="preserve"> as an entry point.</w:t>
      </w:r>
    </w:p>
    <w:p w14:paraId="17D73394" w14:textId="77777777" w:rsidR="009077B5" w:rsidRPr="00CD783E" w:rsidRDefault="00291AB3" w:rsidP="00864D61">
      <w:pPr>
        <w:pStyle w:val="ListParagraph"/>
        <w:numPr>
          <w:ilvl w:val="2"/>
          <w:numId w:val="5"/>
        </w:numPr>
        <w:spacing w:after="0" w:line="240" w:lineRule="exact"/>
      </w:pPr>
      <w:r>
        <w:t xml:space="preserve">Identify </w:t>
      </w:r>
      <w:r w:rsidR="009077B5" w:rsidRPr="00CD783E">
        <w:t>ministries and sectors that include potential nutrition spending.</w:t>
      </w:r>
    </w:p>
    <w:p w14:paraId="35E26459" w14:textId="79644D29" w:rsidR="0036686C" w:rsidRPr="00CD783E" w:rsidRDefault="00864D61" w:rsidP="00864D61">
      <w:pPr>
        <w:pStyle w:val="ListParagraph"/>
        <w:numPr>
          <w:ilvl w:val="2"/>
          <w:numId w:val="5"/>
        </w:numPr>
        <w:spacing w:after="0" w:line="240" w:lineRule="exact"/>
      </w:pPr>
      <w:r>
        <w:t>Consider a</w:t>
      </w:r>
      <w:r w:rsidR="0036686C" w:rsidRPr="00CD783E">
        <w:t xml:space="preserve"> </w:t>
      </w:r>
      <w:r w:rsidR="0036686C" w:rsidRPr="0017062E">
        <w:rPr>
          <w:color w:val="4472C4" w:themeColor="accent5"/>
        </w:rPr>
        <w:t xml:space="preserve">three-step approach </w:t>
      </w:r>
      <w:r w:rsidR="0036686C" w:rsidRPr="00CD783E">
        <w:t xml:space="preserve">based on the identification of programmes </w:t>
      </w:r>
      <w:r w:rsidR="009077B5" w:rsidRPr="00CD783E">
        <w:t>that include</w:t>
      </w:r>
      <w:r w:rsidR="0036686C" w:rsidRPr="00CD783E">
        <w:t xml:space="preserve"> potential nutrition spending.</w:t>
      </w:r>
    </w:p>
    <w:p w14:paraId="56823F66" w14:textId="18F8C9B9" w:rsidR="005E55EF" w:rsidRDefault="005E55EF" w:rsidP="005E55EF">
      <w:pPr>
        <w:pStyle w:val="ListParagraph"/>
        <w:numPr>
          <w:ilvl w:val="2"/>
          <w:numId w:val="5"/>
        </w:numPr>
        <w:spacing w:after="0" w:line="240" w:lineRule="exact"/>
      </w:pPr>
      <w:r>
        <w:t xml:space="preserve">Use existing information in these sectors if available (e.g. National Health Accounts). </w:t>
      </w:r>
    </w:p>
    <w:p w14:paraId="6182A93D" w14:textId="0BC14E41" w:rsidR="00555E8B" w:rsidRPr="00CD783E" w:rsidRDefault="009077B5" w:rsidP="00864D61">
      <w:pPr>
        <w:pStyle w:val="ListParagraph"/>
        <w:numPr>
          <w:ilvl w:val="1"/>
          <w:numId w:val="5"/>
        </w:numPr>
        <w:spacing w:after="0" w:line="240" w:lineRule="exact"/>
      </w:pPr>
      <w:r w:rsidRPr="00CD783E">
        <w:t xml:space="preserve">On </w:t>
      </w:r>
      <w:r w:rsidR="00562F05">
        <w:rPr>
          <w:b/>
        </w:rPr>
        <w:t xml:space="preserve">tracking of external </w:t>
      </w:r>
      <w:r w:rsidRPr="00440BA8">
        <w:rPr>
          <w:b/>
        </w:rPr>
        <w:t>resources</w:t>
      </w:r>
      <w:r w:rsidRPr="00CD783E">
        <w:t>:</w:t>
      </w:r>
    </w:p>
    <w:p w14:paraId="6CA36A44" w14:textId="77777777" w:rsidR="009077B5" w:rsidRPr="00CD783E" w:rsidRDefault="009077B5" w:rsidP="00864D61">
      <w:pPr>
        <w:pStyle w:val="ListParagraph"/>
        <w:numPr>
          <w:ilvl w:val="2"/>
          <w:numId w:val="5"/>
        </w:numPr>
        <w:spacing w:after="0" w:line="240" w:lineRule="exact"/>
      </w:pPr>
      <w:r w:rsidRPr="00CD783E">
        <w:t>Use the aid database.</w:t>
      </w:r>
    </w:p>
    <w:p w14:paraId="54309C20" w14:textId="338930FD" w:rsidR="009077B5" w:rsidRPr="00CD783E" w:rsidRDefault="00864D61" w:rsidP="00864D61">
      <w:pPr>
        <w:pStyle w:val="ListParagraph"/>
        <w:numPr>
          <w:ilvl w:val="2"/>
          <w:numId w:val="5"/>
        </w:numPr>
        <w:spacing w:after="0" w:line="240" w:lineRule="exact"/>
      </w:pPr>
      <w:r>
        <w:t xml:space="preserve">Refer to the </w:t>
      </w:r>
      <w:hyperlink r:id="rId8" w:anchor=".U_RpYfmSzRE" w:history="1">
        <w:r w:rsidRPr="00607B47">
          <w:rPr>
            <w:rStyle w:val="Hyperlink"/>
          </w:rPr>
          <w:t>m</w:t>
        </w:r>
        <w:r w:rsidR="009077B5" w:rsidRPr="00607B47">
          <w:rPr>
            <w:rStyle w:val="Hyperlink"/>
          </w:rPr>
          <w:t>ethodology</w:t>
        </w:r>
      </w:hyperlink>
      <w:r w:rsidR="009077B5" w:rsidRPr="00CD783E">
        <w:t xml:space="preserve"> agreed by the Donor Network in December 2013.</w:t>
      </w:r>
    </w:p>
    <w:p w14:paraId="67E26757" w14:textId="77777777" w:rsidR="00440BA8" w:rsidRDefault="009077B5" w:rsidP="00864D61">
      <w:pPr>
        <w:pStyle w:val="ListParagraph"/>
        <w:numPr>
          <w:ilvl w:val="2"/>
          <w:numId w:val="5"/>
        </w:numPr>
        <w:spacing w:after="0" w:line="240" w:lineRule="exact"/>
      </w:pPr>
      <w:r w:rsidRPr="00CD783E">
        <w:t xml:space="preserve">Important lessons to be shared </w:t>
      </w:r>
      <w:r w:rsidR="00440BA8">
        <w:t xml:space="preserve">by the Donor Network </w:t>
      </w:r>
      <w:r w:rsidRPr="00CD783E">
        <w:t xml:space="preserve">with Governments on categorization and attribution of nutrition-sensitive spending. </w:t>
      </w:r>
    </w:p>
    <w:p w14:paraId="73A36E23" w14:textId="412D2864" w:rsidR="00440BA8" w:rsidRPr="00CD783E" w:rsidRDefault="00864D61" w:rsidP="00864D61">
      <w:pPr>
        <w:pStyle w:val="ListParagraph"/>
        <w:numPr>
          <w:ilvl w:val="2"/>
          <w:numId w:val="5"/>
        </w:numPr>
        <w:spacing w:after="0" w:line="240" w:lineRule="exact"/>
      </w:pPr>
      <w:r>
        <w:t>For further discussion: a</w:t>
      </w:r>
      <w:r w:rsidR="00440BA8" w:rsidRPr="00CD783E">
        <w:t xml:space="preserve"> more detailed mapping of CSO’s investments could be proposed at global level and in a few countries where CSO’s investments are particularly important. </w:t>
      </w:r>
    </w:p>
    <w:p w14:paraId="5FC52661" w14:textId="77777777" w:rsidR="009077B5" w:rsidRPr="00CD783E" w:rsidRDefault="00440BA8" w:rsidP="00864D61">
      <w:pPr>
        <w:pStyle w:val="ListParagraph"/>
        <w:numPr>
          <w:ilvl w:val="1"/>
          <w:numId w:val="5"/>
        </w:numPr>
        <w:spacing w:after="0" w:line="240" w:lineRule="exact"/>
      </w:pPr>
      <w:r>
        <w:t xml:space="preserve">On </w:t>
      </w:r>
      <w:r w:rsidRPr="00440BA8">
        <w:rPr>
          <w:b/>
        </w:rPr>
        <w:t>t</w:t>
      </w:r>
      <w:r w:rsidR="009077B5" w:rsidRPr="00440BA8">
        <w:rPr>
          <w:b/>
        </w:rPr>
        <w:t>ransparency</w:t>
      </w:r>
      <w:r w:rsidR="009077B5" w:rsidRPr="00CD783E">
        <w:t xml:space="preserve">: </w:t>
      </w:r>
    </w:p>
    <w:p w14:paraId="295E4635" w14:textId="77777777" w:rsidR="009077B5" w:rsidRPr="00CD783E" w:rsidRDefault="009077B5" w:rsidP="00864D61">
      <w:pPr>
        <w:pStyle w:val="ListParagraph"/>
        <w:numPr>
          <w:ilvl w:val="2"/>
          <w:numId w:val="5"/>
        </w:numPr>
        <w:spacing w:after="0" w:line="240" w:lineRule="exact"/>
      </w:pPr>
      <w:r w:rsidRPr="00CD783E">
        <w:t xml:space="preserve">Governments should make data on spending for nutrition publicly accessible; </w:t>
      </w:r>
      <w:r w:rsidR="00291AB3">
        <w:t>c</w:t>
      </w:r>
      <w:r w:rsidRPr="00CD783E">
        <w:t xml:space="preserve">onversely CSO’s should </w:t>
      </w:r>
      <w:r w:rsidRPr="00CD783E">
        <w:rPr>
          <w:rFonts w:cs="Tahoma"/>
          <w:color w:val="000000"/>
        </w:rPr>
        <w:t>make their spending available to governments.</w:t>
      </w:r>
    </w:p>
    <w:p w14:paraId="20B83978" w14:textId="176C7847" w:rsidR="00CD783E" w:rsidRPr="00CD783E" w:rsidRDefault="00291AB3" w:rsidP="00440BA8">
      <w:pPr>
        <w:pStyle w:val="NormalWeb"/>
        <w:numPr>
          <w:ilvl w:val="0"/>
          <w:numId w:val="5"/>
        </w:numPr>
        <w:spacing w:line="240" w:lineRule="exact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Different methodologies</w:t>
      </w:r>
      <w:r w:rsidR="00CD783E" w:rsidRPr="00CD783E">
        <w:rPr>
          <w:rFonts w:asciiTheme="minorHAnsi" w:hAnsiTheme="minorHAnsi" w:cs="Tahoma"/>
          <w:color w:val="000000"/>
          <w:sz w:val="22"/>
          <w:szCs w:val="22"/>
        </w:rPr>
        <w:t xml:space="preserve"> and tools are available to countries</w:t>
      </w:r>
      <w:r w:rsidR="005E55EF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="00CD783E" w:rsidRPr="00CD783E">
        <w:rPr>
          <w:rFonts w:asciiTheme="minorHAnsi" w:hAnsiTheme="minorHAnsi" w:cs="Tahoma"/>
          <w:color w:val="000000"/>
          <w:sz w:val="22"/>
          <w:szCs w:val="22"/>
        </w:rPr>
        <w:t>For example:</w:t>
      </w:r>
    </w:p>
    <w:p w14:paraId="4870B47D" w14:textId="71D0EB29" w:rsidR="005E55EF" w:rsidRPr="005E55EF" w:rsidRDefault="005E55EF" w:rsidP="007A17F5">
      <w:pPr>
        <w:pStyle w:val="NormalWeb"/>
        <w:numPr>
          <w:ilvl w:val="1"/>
          <w:numId w:val="12"/>
        </w:numPr>
        <w:spacing w:line="240" w:lineRule="exact"/>
        <w:rPr>
          <w:rFonts w:asciiTheme="minorHAnsi" w:hAnsiTheme="minorHAnsi" w:cs="Tahoma"/>
          <w:sz w:val="22"/>
          <w:szCs w:val="22"/>
        </w:rPr>
      </w:pPr>
      <w:r w:rsidRPr="00954428">
        <w:rPr>
          <w:rFonts w:asciiTheme="minorHAnsi" w:hAnsiTheme="minorHAnsi"/>
          <w:sz w:val="22"/>
          <w:szCs w:val="22"/>
        </w:rPr>
        <w:t>Situation</w:t>
      </w:r>
      <w:r>
        <w:rPr>
          <w:rFonts w:asciiTheme="minorHAnsi" w:hAnsiTheme="minorHAnsi"/>
          <w:sz w:val="22"/>
          <w:szCs w:val="22"/>
        </w:rPr>
        <w:t>/Landscape</w:t>
      </w:r>
      <w:r w:rsidRPr="00954428">
        <w:rPr>
          <w:rFonts w:asciiTheme="minorHAnsi" w:hAnsiTheme="minorHAnsi"/>
          <w:sz w:val="22"/>
          <w:szCs w:val="22"/>
        </w:rPr>
        <w:t xml:space="preserve"> Analysis</w:t>
      </w:r>
      <w:r>
        <w:rPr>
          <w:rFonts w:asciiTheme="minorHAnsi" w:hAnsiTheme="minorHAnsi"/>
          <w:sz w:val="22"/>
          <w:szCs w:val="22"/>
        </w:rPr>
        <w:t xml:space="preserve">, </w:t>
      </w:r>
      <w:r w:rsidR="00844FC5">
        <w:rPr>
          <w:rFonts w:asciiTheme="minorHAnsi" w:hAnsiTheme="minorHAnsi"/>
          <w:sz w:val="22"/>
          <w:szCs w:val="22"/>
        </w:rPr>
        <w:t xml:space="preserve">PROFILES, </w:t>
      </w:r>
      <w:r>
        <w:rPr>
          <w:rFonts w:asciiTheme="minorHAnsi" w:hAnsiTheme="minorHAnsi"/>
          <w:sz w:val="22"/>
          <w:szCs w:val="22"/>
        </w:rPr>
        <w:t>Coverage D</w:t>
      </w:r>
      <w:r w:rsidRPr="00954428">
        <w:rPr>
          <w:rFonts w:asciiTheme="minorHAnsi" w:hAnsiTheme="minorHAnsi"/>
          <w:sz w:val="22"/>
          <w:szCs w:val="22"/>
        </w:rPr>
        <w:t>ashboards</w:t>
      </w:r>
      <w:r>
        <w:rPr>
          <w:rFonts w:asciiTheme="minorHAnsi" w:hAnsiTheme="minorHAnsi"/>
          <w:sz w:val="22"/>
          <w:szCs w:val="22"/>
        </w:rPr>
        <w:t xml:space="preserve">, Stakeholder Mapping, are all devices that </w:t>
      </w:r>
      <w:r w:rsidRPr="00954428">
        <w:rPr>
          <w:rFonts w:asciiTheme="minorHAnsi" w:hAnsiTheme="minorHAnsi"/>
          <w:sz w:val="22"/>
          <w:szCs w:val="22"/>
          <w:lang w:val="en-GB"/>
        </w:rPr>
        <w:t>help with planning</w:t>
      </w:r>
      <w:r w:rsidR="00844FC5">
        <w:rPr>
          <w:rFonts w:asciiTheme="minorHAnsi" w:hAnsiTheme="minorHAnsi"/>
          <w:sz w:val="22"/>
          <w:szCs w:val="22"/>
          <w:lang w:val="en-GB"/>
        </w:rPr>
        <w:t>, advocacy</w:t>
      </w:r>
      <w:r w:rsidRPr="00954428">
        <w:rPr>
          <w:rFonts w:asciiTheme="minorHAnsi" w:hAnsiTheme="minorHAnsi"/>
          <w:sz w:val="22"/>
          <w:szCs w:val="22"/>
          <w:lang w:val="en-GB"/>
        </w:rPr>
        <w:t xml:space="preserve"> and monitoring</w:t>
      </w:r>
      <w:r w:rsidR="00844FC5">
        <w:rPr>
          <w:rFonts w:asciiTheme="minorHAnsi" w:hAnsiTheme="minorHAnsi"/>
          <w:sz w:val="22"/>
          <w:szCs w:val="22"/>
          <w:lang w:val="en-GB"/>
        </w:rPr>
        <w:t>;</w:t>
      </w:r>
    </w:p>
    <w:p w14:paraId="56817EBE" w14:textId="18EBC118" w:rsidR="00CD783E" w:rsidRPr="00954428" w:rsidRDefault="00555E8B" w:rsidP="007A17F5">
      <w:pPr>
        <w:pStyle w:val="NormalWeb"/>
        <w:numPr>
          <w:ilvl w:val="1"/>
          <w:numId w:val="12"/>
        </w:numPr>
        <w:spacing w:line="240" w:lineRule="exact"/>
        <w:rPr>
          <w:rFonts w:asciiTheme="minorHAnsi" w:hAnsiTheme="minorHAnsi" w:cs="Tahoma"/>
          <w:sz w:val="22"/>
          <w:szCs w:val="22"/>
        </w:rPr>
      </w:pPr>
      <w:r w:rsidRPr="00954428">
        <w:rPr>
          <w:rFonts w:asciiTheme="minorHAnsi" w:hAnsiTheme="minorHAnsi" w:cs="Tahoma"/>
          <w:sz w:val="22"/>
          <w:szCs w:val="22"/>
        </w:rPr>
        <w:t>OneHealth</w:t>
      </w:r>
      <w:r w:rsidR="00CD783E" w:rsidRPr="00954428">
        <w:rPr>
          <w:rFonts w:asciiTheme="minorHAnsi" w:hAnsiTheme="minorHAnsi" w:cs="Tahoma"/>
          <w:sz w:val="22"/>
          <w:szCs w:val="22"/>
        </w:rPr>
        <w:t xml:space="preserve"> costing tool</w:t>
      </w:r>
      <w:r w:rsidR="005E55EF">
        <w:rPr>
          <w:rFonts w:asciiTheme="minorHAnsi" w:hAnsiTheme="minorHAnsi" w:cs="Tahoma"/>
          <w:sz w:val="22"/>
          <w:szCs w:val="22"/>
        </w:rPr>
        <w:t xml:space="preserve"> and</w:t>
      </w:r>
      <w:r w:rsidRPr="00954428">
        <w:rPr>
          <w:rFonts w:asciiTheme="minorHAnsi" w:hAnsiTheme="minorHAnsi" w:cs="Tahoma"/>
          <w:sz w:val="22"/>
          <w:szCs w:val="22"/>
        </w:rPr>
        <w:t xml:space="preserve"> ABC</w:t>
      </w:r>
      <w:r w:rsidR="00CD783E" w:rsidRPr="00954428">
        <w:rPr>
          <w:rFonts w:asciiTheme="minorHAnsi" w:hAnsiTheme="minorHAnsi" w:cs="Tahoma"/>
          <w:sz w:val="22"/>
          <w:szCs w:val="22"/>
        </w:rPr>
        <w:t xml:space="preserve"> methodology</w:t>
      </w:r>
      <w:r w:rsidRPr="00954428">
        <w:rPr>
          <w:rFonts w:asciiTheme="minorHAnsi" w:hAnsiTheme="minorHAnsi" w:cs="Tahoma"/>
          <w:sz w:val="22"/>
          <w:szCs w:val="22"/>
        </w:rPr>
        <w:t xml:space="preserve"> a</w:t>
      </w:r>
      <w:r w:rsidR="00CD783E" w:rsidRPr="00954428">
        <w:rPr>
          <w:rFonts w:asciiTheme="minorHAnsi" w:hAnsiTheme="minorHAnsi" w:cs="Tahoma"/>
          <w:sz w:val="22"/>
          <w:szCs w:val="22"/>
        </w:rPr>
        <w:t xml:space="preserve">re </w:t>
      </w:r>
      <w:r w:rsidRPr="00954428">
        <w:rPr>
          <w:rFonts w:asciiTheme="minorHAnsi" w:hAnsiTheme="minorHAnsi" w:cs="Tahoma"/>
          <w:sz w:val="22"/>
          <w:szCs w:val="22"/>
        </w:rPr>
        <w:t xml:space="preserve">devices to assist in </w:t>
      </w:r>
      <w:r w:rsidR="00844FC5">
        <w:rPr>
          <w:rFonts w:asciiTheme="minorHAnsi" w:hAnsiTheme="minorHAnsi" w:cs="Tahoma"/>
          <w:sz w:val="22"/>
          <w:szCs w:val="22"/>
        </w:rPr>
        <w:t>costing;</w:t>
      </w:r>
      <w:r w:rsidR="005E55EF">
        <w:rPr>
          <w:rFonts w:asciiTheme="minorHAnsi" w:hAnsiTheme="minorHAnsi" w:cs="Tahoma"/>
          <w:sz w:val="22"/>
          <w:szCs w:val="22"/>
        </w:rPr>
        <w:t xml:space="preserve"> </w:t>
      </w:r>
    </w:p>
    <w:p w14:paraId="25A6AA16" w14:textId="6CFEB13A" w:rsidR="00555E8B" w:rsidRPr="007A17F5" w:rsidRDefault="00555E8B" w:rsidP="00440BA8">
      <w:pPr>
        <w:pStyle w:val="NormalWeb"/>
        <w:numPr>
          <w:ilvl w:val="1"/>
          <w:numId w:val="5"/>
        </w:numPr>
        <w:spacing w:line="240" w:lineRule="exact"/>
        <w:rPr>
          <w:rFonts w:asciiTheme="minorHAnsi" w:hAnsiTheme="minorHAnsi" w:cs="Tahoma"/>
          <w:sz w:val="22"/>
          <w:szCs w:val="22"/>
        </w:rPr>
      </w:pPr>
      <w:r w:rsidRPr="007A17F5">
        <w:rPr>
          <w:rFonts w:asciiTheme="minorHAnsi" w:hAnsiTheme="minorHAnsi" w:cs="Tahoma"/>
          <w:sz w:val="22"/>
          <w:szCs w:val="22"/>
        </w:rPr>
        <w:t>P</w:t>
      </w:r>
      <w:r w:rsidR="005E55EF">
        <w:rPr>
          <w:rFonts w:asciiTheme="minorHAnsi" w:hAnsiTheme="minorHAnsi" w:cs="Tahoma"/>
          <w:sz w:val="22"/>
          <w:szCs w:val="22"/>
        </w:rPr>
        <w:t xml:space="preserve">ublic </w:t>
      </w:r>
      <w:r w:rsidRPr="007A17F5">
        <w:rPr>
          <w:rFonts w:asciiTheme="minorHAnsi" w:hAnsiTheme="minorHAnsi" w:cs="Tahoma"/>
          <w:sz w:val="22"/>
          <w:szCs w:val="22"/>
        </w:rPr>
        <w:t>E</w:t>
      </w:r>
      <w:r w:rsidR="005E55EF">
        <w:rPr>
          <w:rFonts w:asciiTheme="minorHAnsi" w:hAnsiTheme="minorHAnsi" w:cs="Tahoma"/>
          <w:sz w:val="22"/>
          <w:szCs w:val="22"/>
        </w:rPr>
        <w:t xml:space="preserve">xpenditure </w:t>
      </w:r>
      <w:r w:rsidRPr="007A17F5">
        <w:rPr>
          <w:rFonts w:asciiTheme="minorHAnsi" w:hAnsiTheme="minorHAnsi" w:cs="Tahoma"/>
          <w:sz w:val="22"/>
          <w:szCs w:val="22"/>
        </w:rPr>
        <w:t>R</w:t>
      </w:r>
      <w:r w:rsidR="005E55EF">
        <w:rPr>
          <w:rFonts w:asciiTheme="minorHAnsi" w:hAnsiTheme="minorHAnsi" w:cs="Tahoma"/>
          <w:sz w:val="22"/>
          <w:szCs w:val="22"/>
        </w:rPr>
        <w:t>eview</w:t>
      </w:r>
      <w:r w:rsidRPr="007A17F5">
        <w:rPr>
          <w:rFonts w:asciiTheme="minorHAnsi" w:hAnsiTheme="minorHAnsi" w:cs="Tahoma"/>
          <w:sz w:val="22"/>
          <w:szCs w:val="22"/>
        </w:rPr>
        <w:t xml:space="preserve"> </w:t>
      </w:r>
      <w:r w:rsidR="005E55EF">
        <w:rPr>
          <w:rFonts w:asciiTheme="minorHAnsi" w:hAnsiTheme="minorHAnsi" w:cs="Tahoma"/>
          <w:sz w:val="22"/>
          <w:szCs w:val="22"/>
        </w:rPr>
        <w:t xml:space="preserve">(PER) </w:t>
      </w:r>
      <w:r w:rsidRPr="007A17F5">
        <w:rPr>
          <w:rFonts w:asciiTheme="minorHAnsi" w:hAnsiTheme="minorHAnsi" w:cs="Tahoma"/>
          <w:sz w:val="22"/>
          <w:szCs w:val="22"/>
        </w:rPr>
        <w:t xml:space="preserve">and </w:t>
      </w:r>
      <w:r w:rsidR="005E55EF">
        <w:rPr>
          <w:rFonts w:asciiTheme="minorHAnsi" w:hAnsiTheme="minorHAnsi" w:cs="Tahoma"/>
          <w:sz w:val="22"/>
          <w:szCs w:val="22"/>
        </w:rPr>
        <w:t xml:space="preserve">National </w:t>
      </w:r>
      <w:r w:rsidRPr="007A17F5">
        <w:rPr>
          <w:rFonts w:asciiTheme="minorHAnsi" w:hAnsiTheme="minorHAnsi" w:cs="Tahoma"/>
          <w:sz w:val="22"/>
          <w:szCs w:val="22"/>
        </w:rPr>
        <w:t>H</w:t>
      </w:r>
      <w:r w:rsidR="005E55EF">
        <w:rPr>
          <w:rFonts w:asciiTheme="minorHAnsi" w:hAnsiTheme="minorHAnsi" w:cs="Tahoma"/>
          <w:sz w:val="22"/>
          <w:szCs w:val="22"/>
        </w:rPr>
        <w:t xml:space="preserve">ealth Accounts (NHA) </w:t>
      </w:r>
      <w:r w:rsidR="00CD783E" w:rsidRPr="007A17F5">
        <w:rPr>
          <w:rFonts w:asciiTheme="minorHAnsi" w:hAnsiTheme="minorHAnsi" w:cs="Tahoma"/>
          <w:sz w:val="22"/>
          <w:szCs w:val="22"/>
        </w:rPr>
        <w:t>are devices for detailed tracking</w:t>
      </w:r>
      <w:r w:rsidR="005E55EF">
        <w:rPr>
          <w:rFonts w:asciiTheme="minorHAnsi" w:hAnsiTheme="minorHAnsi" w:cs="Tahoma"/>
          <w:sz w:val="22"/>
          <w:szCs w:val="22"/>
        </w:rPr>
        <w:t xml:space="preserve"> of spending</w:t>
      </w:r>
      <w:r w:rsidR="00CD783E" w:rsidRPr="007A17F5">
        <w:rPr>
          <w:rFonts w:asciiTheme="minorHAnsi" w:hAnsiTheme="minorHAnsi" w:cs="Tahoma"/>
          <w:sz w:val="22"/>
          <w:szCs w:val="22"/>
        </w:rPr>
        <w:t xml:space="preserve">. </w:t>
      </w:r>
      <w:bookmarkStart w:id="0" w:name="_GoBack"/>
      <w:bookmarkEnd w:id="0"/>
    </w:p>
    <w:p w14:paraId="05D7C824" w14:textId="6D12FF67" w:rsidR="00555E8B" w:rsidRPr="007A17F5" w:rsidRDefault="005E55EF" w:rsidP="00440BA8">
      <w:pPr>
        <w:pStyle w:val="NormalWeb"/>
        <w:numPr>
          <w:ilvl w:val="0"/>
          <w:numId w:val="5"/>
        </w:numPr>
        <w:spacing w:line="240" w:lineRule="exac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</w:t>
      </w:r>
      <w:r w:rsidR="00CD783E" w:rsidRPr="007A17F5">
        <w:rPr>
          <w:rFonts w:asciiTheme="minorHAnsi" w:hAnsiTheme="minorHAnsi" w:cs="Tahoma"/>
          <w:sz w:val="22"/>
          <w:szCs w:val="22"/>
        </w:rPr>
        <w:t xml:space="preserve">ountries </w:t>
      </w:r>
      <w:r>
        <w:rPr>
          <w:rFonts w:asciiTheme="minorHAnsi" w:hAnsiTheme="minorHAnsi" w:cs="Tahoma"/>
          <w:sz w:val="22"/>
          <w:szCs w:val="22"/>
        </w:rPr>
        <w:t xml:space="preserve">can choose any methodology that is fit for their purposes as long as the </w:t>
      </w:r>
      <w:r w:rsidRPr="007A17F5">
        <w:rPr>
          <w:rFonts w:asciiTheme="minorHAnsi" w:hAnsiTheme="minorHAnsi" w:cs="Tahoma"/>
          <w:sz w:val="22"/>
          <w:szCs w:val="22"/>
        </w:rPr>
        <w:t xml:space="preserve">methodology meets the basic requirements </w:t>
      </w:r>
      <w:r w:rsidR="00203E73">
        <w:rPr>
          <w:rFonts w:asciiTheme="minorHAnsi" w:hAnsiTheme="minorHAnsi" w:cs="Tahoma"/>
          <w:sz w:val="22"/>
          <w:szCs w:val="22"/>
        </w:rPr>
        <w:t xml:space="preserve">for transparency and replicability. Assumptions and principles should be clearly stated </w:t>
      </w:r>
      <w:r w:rsidR="00844FC5">
        <w:rPr>
          <w:rFonts w:asciiTheme="minorHAnsi" w:hAnsiTheme="minorHAnsi" w:cs="Tahoma"/>
          <w:sz w:val="22"/>
          <w:szCs w:val="22"/>
        </w:rPr>
        <w:t xml:space="preserve">by the agencies involved in conducting </w:t>
      </w:r>
      <w:r w:rsidR="00203E73">
        <w:rPr>
          <w:rFonts w:asciiTheme="minorHAnsi" w:hAnsiTheme="minorHAnsi" w:cs="Tahoma"/>
          <w:sz w:val="22"/>
          <w:szCs w:val="22"/>
        </w:rPr>
        <w:t>costing and financial tracking</w:t>
      </w:r>
      <w:r w:rsidR="00CD783E" w:rsidRPr="007A17F5">
        <w:rPr>
          <w:rFonts w:asciiTheme="minorHAnsi" w:hAnsiTheme="minorHAnsi" w:cs="Tahoma"/>
          <w:sz w:val="22"/>
          <w:szCs w:val="22"/>
        </w:rPr>
        <w:t>.</w:t>
      </w:r>
    </w:p>
    <w:p w14:paraId="4225BEC1" w14:textId="77777777" w:rsidR="008846AA" w:rsidRPr="00CD783E" w:rsidRDefault="008846AA" w:rsidP="00440BA8">
      <w:pPr>
        <w:spacing w:after="0" w:line="240" w:lineRule="exact"/>
      </w:pPr>
    </w:p>
    <w:p w14:paraId="3D13DC5D" w14:textId="77777777" w:rsidR="008846AA" w:rsidRPr="00CD783E" w:rsidRDefault="008846AA" w:rsidP="00440BA8">
      <w:pPr>
        <w:pStyle w:val="ListParagraph"/>
        <w:numPr>
          <w:ilvl w:val="0"/>
          <w:numId w:val="2"/>
        </w:numPr>
        <w:spacing w:after="0" w:line="240" w:lineRule="exact"/>
        <w:rPr>
          <w:color w:val="ED7D31" w:themeColor="accent2"/>
        </w:rPr>
      </w:pPr>
      <w:r w:rsidRPr="00CD783E">
        <w:rPr>
          <w:color w:val="ED7D31" w:themeColor="accent2"/>
        </w:rPr>
        <w:t>Way-forward</w:t>
      </w:r>
    </w:p>
    <w:p w14:paraId="2D3B6982" w14:textId="71EBEE3C" w:rsidR="00555E8B" w:rsidRPr="00CD783E" w:rsidRDefault="00555E8B" w:rsidP="00440BA8">
      <w:pPr>
        <w:pStyle w:val="ListParagraph"/>
        <w:numPr>
          <w:ilvl w:val="0"/>
          <w:numId w:val="6"/>
        </w:numPr>
        <w:spacing w:after="0" w:line="240" w:lineRule="exact"/>
      </w:pPr>
      <w:r w:rsidRPr="00CD783E">
        <w:t xml:space="preserve">Next conference call to be organized </w:t>
      </w:r>
      <w:r w:rsidR="00EA015D">
        <w:t>mid of October</w:t>
      </w:r>
      <w:r w:rsidRPr="00CD783E">
        <w:t xml:space="preserve"> (TBC) leading up to the Global Gathering in November 2014</w:t>
      </w:r>
    </w:p>
    <w:p w14:paraId="71213815" w14:textId="225467C4" w:rsidR="008846AA" w:rsidRDefault="006C5CAB" w:rsidP="0017062E">
      <w:pPr>
        <w:rPr>
          <w:color w:val="ED7D31" w:themeColor="accent2"/>
        </w:rPr>
      </w:pPr>
      <w:r>
        <w:rPr>
          <w:color w:val="ED7D31" w:themeColor="accent2"/>
        </w:rPr>
        <w:br w:type="page"/>
      </w:r>
      <w:r w:rsidR="0017062E">
        <w:rPr>
          <w:color w:val="ED7D31" w:themeColor="accent2"/>
        </w:rPr>
        <w:lastRenderedPageBreak/>
        <w:t xml:space="preserve"> </w:t>
      </w:r>
      <w:r>
        <w:rPr>
          <w:color w:val="ED7D31" w:themeColor="accent2"/>
        </w:rPr>
        <w:t>Participant list</w:t>
      </w:r>
    </w:p>
    <w:p w14:paraId="227183AE" w14:textId="77777777" w:rsidR="00466B58" w:rsidRPr="00E9186B" w:rsidRDefault="00466B58" w:rsidP="00466B58">
      <w:pPr>
        <w:pStyle w:val="ListParagraph"/>
        <w:numPr>
          <w:ilvl w:val="0"/>
          <w:numId w:val="7"/>
        </w:numPr>
      </w:pPr>
      <w:r w:rsidRPr="00E9186B">
        <w:t>UN Network:</w:t>
      </w:r>
    </w:p>
    <w:p w14:paraId="77D55C09" w14:textId="77777777" w:rsidR="00466B58" w:rsidRPr="00E9186B" w:rsidRDefault="00466B58" w:rsidP="00466B58">
      <w:pPr>
        <w:pStyle w:val="ListParagraph"/>
        <w:numPr>
          <w:ilvl w:val="1"/>
          <w:numId w:val="8"/>
        </w:numPr>
      </w:pPr>
      <w:r w:rsidRPr="00E9186B">
        <w:t>UNICEF: Pura Rayco-Solon</w:t>
      </w:r>
    </w:p>
    <w:p w14:paraId="4F38BD74" w14:textId="77777777" w:rsidR="00466B58" w:rsidRPr="00E9186B" w:rsidRDefault="00466B58" w:rsidP="00466B58">
      <w:pPr>
        <w:pStyle w:val="ListParagraph"/>
        <w:numPr>
          <w:ilvl w:val="1"/>
          <w:numId w:val="8"/>
        </w:numPr>
      </w:pPr>
      <w:r w:rsidRPr="00E9186B">
        <w:t xml:space="preserve">WHO: Kaia Engesveen </w:t>
      </w:r>
    </w:p>
    <w:p w14:paraId="4EC8F277" w14:textId="77777777" w:rsidR="00466B58" w:rsidRPr="00E9186B" w:rsidRDefault="00466B58" w:rsidP="00466B58">
      <w:pPr>
        <w:pStyle w:val="ListParagraph"/>
        <w:numPr>
          <w:ilvl w:val="1"/>
          <w:numId w:val="8"/>
        </w:numPr>
      </w:pPr>
      <w:r w:rsidRPr="00E9186B">
        <w:t>FAO: Boitshepo Giyose</w:t>
      </w:r>
    </w:p>
    <w:p w14:paraId="0E0AAB95" w14:textId="77777777" w:rsidR="00466B58" w:rsidRPr="00E9186B" w:rsidRDefault="00466B58" w:rsidP="00466B58">
      <w:pPr>
        <w:pStyle w:val="ListParagraph"/>
        <w:numPr>
          <w:ilvl w:val="1"/>
          <w:numId w:val="8"/>
        </w:numPr>
      </w:pPr>
      <w:r w:rsidRPr="00E9186B">
        <w:t>REACH: Frauke Uekermann and Nicolas Bidault</w:t>
      </w:r>
    </w:p>
    <w:p w14:paraId="4A651944" w14:textId="77777777" w:rsidR="00466B58" w:rsidRPr="00E9186B" w:rsidRDefault="00466B58" w:rsidP="00466B58">
      <w:pPr>
        <w:pStyle w:val="ListParagraph"/>
        <w:numPr>
          <w:ilvl w:val="0"/>
          <w:numId w:val="7"/>
        </w:numPr>
      </w:pPr>
      <w:r w:rsidRPr="00E9186B">
        <w:t xml:space="preserve">Donor Network: </w:t>
      </w:r>
    </w:p>
    <w:p w14:paraId="23873101" w14:textId="77777777" w:rsidR="00466B58" w:rsidRPr="00E9186B" w:rsidRDefault="00466B58" w:rsidP="00466B58">
      <w:pPr>
        <w:pStyle w:val="ListParagraph"/>
        <w:numPr>
          <w:ilvl w:val="1"/>
          <w:numId w:val="10"/>
        </w:numPr>
      </w:pPr>
      <w:r w:rsidRPr="00E9186B">
        <w:t xml:space="preserve">CIDA: Erin Mclean </w:t>
      </w:r>
    </w:p>
    <w:p w14:paraId="146FAB0A" w14:textId="77777777" w:rsidR="00466B58" w:rsidRPr="00E9186B" w:rsidRDefault="00466B58" w:rsidP="00466B58">
      <w:pPr>
        <w:pStyle w:val="ListParagraph"/>
        <w:numPr>
          <w:ilvl w:val="1"/>
          <w:numId w:val="10"/>
        </w:numPr>
      </w:pPr>
      <w:r w:rsidRPr="00E9186B">
        <w:t>EC: Pedro Campo-Llopis</w:t>
      </w:r>
    </w:p>
    <w:p w14:paraId="1B01508A" w14:textId="77777777" w:rsidR="00466B58" w:rsidRPr="00E9186B" w:rsidRDefault="00466B58" w:rsidP="00466B58">
      <w:pPr>
        <w:pStyle w:val="ListParagraph"/>
        <w:numPr>
          <w:ilvl w:val="1"/>
          <w:numId w:val="10"/>
        </w:numPr>
      </w:pPr>
      <w:r w:rsidRPr="00E9186B">
        <w:t xml:space="preserve">CIFF: Jo Lofthouse </w:t>
      </w:r>
    </w:p>
    <w:p w14:paraId="1C7B7090" w14:textId="77777777" w:rsidR="00466B58" w:rsidRPr="00E9186B" w:rsidRDefault="00466B58" w:rsidP="00466B58">
      <w:pPr>
        <w:pStyle w:val="ListParagraph"/>
        <w:numPr>
          <w:ilvl w:val="1"/>
          <w:numId w:val="10"/>
        </w:numPr>
      </w:pPr>
      <w:r w:rsidRPr="00E9186B">
        <w:t xml:space="preserve">World Bank: Meera Shekar </w:t>
      </w:r>
    </w:p>
    <w:p w14:paraId="469A0127" w14:textId="77777777" w:rsidR="00466B58" w:rsidRPr="00E9186B" w:rsidRDefault="00466B58" w:rsidP="00466B58">
      <w:pPr>
        <w:pStyle w:val="ListParagraph"/>
        <w:numPr>
          <w:ilvl w:val="0"/>
          <w:numId w:val="9"/>
        </w:numPr>
      </w:pPr>
      <w:r w:rsidRPr="00E9186B">
        <w:t xml:space="preserve">Civil Society Network: </w:t>
      </w:r>
    </w:p>
    <w:p w14:paraId="1D2B21E4" w14:textId="77777777" w:rsidR="00466B58" w:rsidRPr="00E9186B" w:rsidRDefault="00E9186B" w:rsidP="00466B58">
      <w:pPr>
        <w:pStyle w:val="ListParagraph"/>
        <w:numPr>
          <w:ilvl w:val="1"/>
          <w:numId w:val="9"/>
        </w:numPr>
      </w:pPr>
      <w:r w:rsidRPr="00E9186B">
        <w:t xml:space="preserve">Save the Children: </w:t>
      </w:r>
      <w:r w:rsidR="00466B58" w:rsidRPr="00E9186B">
        <w:t>Hugh Bagnall-Oakeley</w:t>
      </w:r>
    </w:p>
    <w:p w14:paraId="1ABFF0D0" w14:textId="77777777" w:rsidR="00E9186B" w:rsidRPr="00E9186B" w:rsidRDefault="00E9186B" w:rsidP="00E9186B">
      <w:pPr>
        <w:pStyle w:val="ListParagraph"/>
        <w:numPr>
          <w:ilvl w:val="0"/>
          <w:numId w:val="7"/>
        </w:numPr>
      </w:pPr>
      <w:r w:rsidRPr="00E9186B">
        <w:t>Networks/consortium for technical assistance:</w:t>
      </w:r>
    </w:p>
    <w:p w14:paraId="50860BE4" w14:textId="77777777" w:rsidR="00E9186B" w:rsidRPr="00E9186B" w:rsidRDefault="00E9186B" w:rsidP="00E9186B">
      <w:pPr>
        <w:pStyle w:val="ListParagraph"/>
        <w:numPr>
          <w:ilvl w:val="1"/>
          <w:numId w:val="7"/>
        </w:numPr>
      </w:pPr>
      <w:r w:rsidRPr="00E9186B">
        <w:t>MQSUN: Helen Connolly</w:t>
      </w:r>
    </w:p>
    <w:p w14:paraId="418309BD" w14:textId="7D70AEB4" w:rsidR="00E9186B" w:rsidRPr="00E9186B" w:rsidRDefault="00E9186B" w:rsidP="00E9186B">
      <w:pPr>
        <w:pStyle w:val="ListParagraph"/>
        <w:numPr>
          <w:ilvl w:val="1"/>
          <w:numId w:val="7"/>
        </w:numPr>
      </w:pPr>
      <w:r w:rsidRPr="00E9186B">
        <w:t xml:space="preserve">FANTA: </w:t>
      </w:r>
      <w:r w:rsidR="00466B58" w:rsidRPr="00E9186B">
        <w:t>Tina Lloren</w:t>
      </w:r>
      <w:r w:rsidR="000966E8">
        <w:t xml:space="preserve">, </w:t>
      </w:r>
      <w:r w:rsidR="00466B58" w:rsidRPr="00E9186B">
        <w:t>Gilles Bergeron</w:t>
      </w:r>
      <w:r w:rsidR="000966E8">
        <w:t xml:space="preserve"> </w:t>
      </w:r>
    </w:p>
    <w:p w14:paraId="5B195E51" w14:textId="77777777" w:rsidR="00466B58" w:rsidRPr="00E9186B" w:rsidRDefault="00466B58" w:rsidP="00E9186B">
      <w:pPr>
        <w:pStyle w:val="ListParagraph"/>
        <w:numPr>
          <w:ilvl w:val="1"/>
          <w:numId w:val="7"/>
        </w:numPr>
      </w:pPr>
      <w:r w:rsidRPr="00E9186B">
        <w:t>Results for Development Institute: Mark Roland</w:t>
      </w:r>
    </w:p>
    <w:p w14:paraId="77442E47" w14:textId="77777777" w:rsidR="00E9186B" w:rsidRPr="00E9186B" w:rsidRDefault="00E9186B" w:rsidP="00E9186B">
      <w:pPr>
        <w:pStyle w:val="ListParagraph"/>
        <w:numPr>
          <w:ilvl w:val="0"/>
          <w:numId w:val="7"/>
        </w:numPr>
      </w:pPr>
      <w:r w:rsidRPr="00E9186B">
        <w:t>University of Waterloo: Sue Horton</w:t>
      </w:r>
    </w:p>
    <w:p w14:paraId="0DB0465E" w14:textId="77777777" w:rsidR="00E9186B" w:rsidRPr="00E9186B" w:rsidRDefault="00E9186B" w:rsidP="00E9186B">
      <w:pPr>
        <w:pStyle w:val="ListParagraph"/>
        <w:numPr>
          <w:ilvl w:val="0"/>
          <w:numId w:val="7"/>
        </w:numPr>
      </w:pPr>
      <w:r w:rsidRPr="00E9186B">
        <w:t>OPM: Clara Picanyol</w:t>
      </w:r>
    </w:p>
    <w:p w14:paraId="3E883F44" w14:textId="76135375" w:rsidR="00E9186B" w:rsidRPr="00607B47" w:rsidRDefault="00E9186B" w:rsidP="00E9186B">
      <w:pPr>
        <w:pStyle w:val="ListParagraph"/>
        <w:numPr>
          <w:ilvl w:val="0"/>
          <w:numId w:val="7"/>
        </w:numPr>
        <w:rPr>
          <w:lang w:val="en-GB"/>
        </w:rPr>
      </w:pPr>
      <w:r w:rsidRPr="00607B47">
        <w:rPr>
          <w:lang w:val="en-GB"/>
        </w:rPr>
        <w:t>SUN Movement Secretariat: Dr. David Nabarro</w:t>
      </w:r>
      <w:r w:rsidR="002B3703" w:rsidRPr="00607B47">
        <w:rPr>
          <w:lang w:val="en-GB"/>
        </w:rPr>
        <w:t xml:space="preserve">, </w:t>
      </w:r>
      <w:r w:rsidRPr="00607B47">
        <w:rPr>
          <w:lang w:val="en-GB"/>
        </w:rPr>
        <w:t xml:space="preserve">Patrizia Fracassi </w:t>
      </w:r>
      <w:r w:rsidR="002B3703" w:rsidRPr="00607B47">
        <w:rPr>
          <w:lang w:val="en-GB"/>
        </w:rPr>
        <w:t>and Martin Gallagher</w:t>
      </w:r>
    </w:p>
    <w:p w14:paraId="0BEFF99C" w14:textId="77777777" w:rsidR="00E9186B" w:rsidRPr="00607B47" w:rsidRDefault="00E9186B" w:rsidP="00E9186B">
      <w:pPr>
        <w:pStyle w:val="ListParagraph"/>
        <w:ind w:left="360"/>
        <w:rPr>
          <w:color w:val="1F497D"/>
          <w:lang w:val="en-GB"/>
        </w:rPr>
      </w:pPr>
    </w:p>
    <w:p w14:paraId="10478A5A" w14:textId="77777777" w:rsidR="006C5CAB" w:rsidRDefault="006C5CAB" w:rsidP="008846AA">
      <w:pPr>
        <w:pStyle w:val="ListParagraph"/>
        <w:numPr>
          <w:ilvl w:val="0"/>
          <w:numId w:val="2"/>
        </w:numPr>
        <w:spacing w:after="0"/>
        <w:rPr>
          <w:color w:val="ED7D31" w:themeColor="accent2"/>
        </w:rPr>
      </w:pPr>
      <w:r>
        <w:rPr>
          <w:color w:val="ED7D31" w:themeColor="accent2"/>
        </w:rPr>
        <w:t xml:space="preserve">Additional </w:t>
      </w:r>
      <w:r w:rsidRPr="000E1B6E">
        <w:rPr>
          <w:color w:val="ED7D31" w:themeColor="accent2"/>
        </w:rPr>
        <w:t>participants</w:t>
      </w:r>
      <w:r w:rsidR="00E9186B">
        <w:rPr>
          <w:color w:val="ED7D31" w:themeColor="accent2"/>
        </w:rPr>
        <w:t xml:space="preserve"> (absent in the call): </w:t>
      </w:r>
    </w:p>
    <w:p w14:paraId="23934669" w14:textId="77777777" w:rsidR="00E9186B" w:rsidRPr="00E9186B" w:rsidRDefault="00E9186B" w:rsidP="00E9186B">
      <w:pPr>
        <w:pStyle w:val="ListParagraph"/>
        <w:numPr>
          <w:ilvl w:val="0"/>
          <w:numId w:val="11"/>
        </w:numPr>
      </w:pPr>
      <w:r w:rsidRPr="00E9186B">
        <w:t>Global Nutrition Report Secretariat: Komal Bhatia</w:t>
      </w:r>
    </w:p>
    <w:p w14:paraId="6400E7F5" w14:textId="77777777" w:rsidR="00E9186B" w:rsidRPr="00E9186B" w:rsidRDefault="00E9186B" w:rsidP="00E9186B">
      <w:pPr>
        <w:pStyle w:val="ListParagraph"/>
        <w:numPr>
          <w:ilvl w:val="0"/>
          <w:numId w:val="11"/>
        </w:numPr>
      </w:pPr>
      <w:r w:rsidRPr="00E9186B">
        <w:t>Development Initiative: Jason Braganza</w:t>
      </w:r>
    </w:p>
    <w:p w14:paraId="11CF9C97" w14:textId="77777777" w:rsidR="006C5CAB" w:rsidRPr="006C5CAB" w:rsidRDefault="006C5CAB" w:rsidP="006C5CAB">
      <w:pPr>
        <w:spacing w:after="0"/>
        <w:rPr>
          <w:color w:val="ED7D31" w:themeColor="accent2"/>
        </w:rPr>
      </w:pPr>
    </w:p>
    <w:p w14:paraId="5C8603B0" w14:textId="2EAA9D82" w:rsidR="008846AA" w:rsidRDefault="000E1B6E" w:rsidP="008846AA">
      <w:pPr>
        <w:spacing w:after="0"/>
        <w:rPr>
          <w:color w:val="ED7D31" w:themeColor="accent2"/>
        </w:rPr>
      </w:pPr>
      <w:r>
        <w:rPr>
          <w:color w:val="ED7D31" w:themeColor="accent2"/>
        </w:rPr>
        <w:t>Please, kindly send your feedback to:</w:t>
      </w:r>
    </w:p>
    <w:p w14:paraId="7BC77A45" w14:textId="7B8547B8" w:rsidR="000E1B6E" w:rsidRPr="00607B47" w:rsidRDefault="000E1B6E" w:rsidP="000E1B6E">
      <w:pPr>
        <w:spacing w:after="0"/>
        <w:rPr>
          <w:lang w:val="fr-FR"/>
        </w:rPr>
      </w:pPr>
      <w:r w:rsidRPr="00607B47">
        <w:rPr>
          <w:lang w:val="fr-FR"/>
        </w:rPr>
        <w:t xml:space="preserve">Pura Rayco-Solon: </w:t>
      </w:r>
      <w:hyperlink r:id="rId9" w:history="1">
        <w:r w:rsidRPr="00607B47">
          <w:rPr>
            <w:rStyle w:val="Hyperlink"/>
            <w:lang w:val="fr-FR"/>
          </w:rPr>
          <w:t>praycosolon@unicef.org</w:t>
        </w:r>
      </w:hyperlink>
    </w:p>
    <w:p w14:paraId="459AD7DF" w14:textId="6A7DAFCF" w:rsidR="000E1B6E" w:rsidRPr="00607B47" w:rsidRDefault="000E1B6E" w:rsidP="000E1B6E">
      <w:pPr>
        <w:spacing w:after="0"/>
        <w:rPr>
          <w:lang w:val="fr-FR"/>
        </w:rPr>
      </w:pPr>
      <w:r w:rsidRPr="00607B47">
        <w:rPr>
          <w:lang w:val="fr-FR"/>
        </w:rPr>
        <w:t xml:space="preserve">Patrizia Fracassi: </w:t>
      </w:r>
      <w:hyperlink r:id="rId10" w:history="1">
        <w:r w:rsidRPr="00607B47">
          <w:rPr>
            <w:rStyle w:val="Hyperlink"/>
            <w:lang w:val="fr-FR"/>
          </w:rPr>
          <w:t>patrizia.fracassi@undp.org</w:t>
        </w:r>
      </w:hyperlink>
    </w:p>
    <w:p w14:paraId="431D5727" w14:textId="77777777" w:rsidR="000E1B6E" w:rsidRPr="00607B47" w:rsidRDefault="000E1B6E" w:rsidP="000E1B6E">
      <w:pPr>
        <w:spacing w:after="0"/>
        <w:rPr>
          <w:lang w:val="fr-FR"/>
        </w:rPr>
      </w:pPr>
    </w:p>
    <w:sectPr w:rsidR="000E1B6E" w:rsidRPr="00607B47" w:rsidSect="00170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81307" w14:textId="77777777" w:rsidR="00E41BCA" w:rsidRDefault="00E41BCA" w:rsidP="000B15A1">
      <w:pPr>
        <w:spacing w:after="0" w:line="240" w:lineRule="auto"/>
      </w:pPr>
      <w:r>
        <w:separator/>
      </w:r>
    </w:p>
  </w:endnote>
  <w:endnote w:type="continuationSeparator" w:id="0">
    <w:p w14:paraId="6017A582" w14:textId="77777777" w:rsidR="00E41BCA" w:rsidRDefault="00E41BCA" w:rsidP="000B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D1AF1" w14:textId="77777777" w:rsidR="00E41BCA" w:rsidRDefault="00E41BCA" w:rsidP="000B15A1">
      <w:pPr>
        <w:spacing w:after="0" w:line="240" w:lineRule="auto"/>
      </w:pPr>
      <w:r>
        <w:separator/>
      </w:r>
    </w:p>
  </w:footnote>
  <w:footnote w:type="continuationSeparator" w:id="0">
    <w:p w14:paraId="696D8200" w14:textId="77777777" w:rsidR="00E41BCA" w:rsidRDefault="00E41BCA" w:rsidP="000B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45C"/>
    <w:multiLevelType w:val="hybridMultilevel"/>
    <w:tmpl w:val="0E4CD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334B1"/>
    <w:multiLevelType w:val="hybridMultilevel"/>
    <w:tmpl w:val="4E3E3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26A92"/>
    <w:multiLevelType w:val="hybridMultilevel"/>
    <w:tmpl w:val="84343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44F79"/>
    <w:multiLevelType w:val="hybridMultilevel"/>
    <w:tmpl w:val="37169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A7828"/>
    <w:multiLevelType w:val="hybridMultilevel"/>
    <w:tmpl w:val="C5943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B3752F"/>
    <w:multiLevelType w:val="hybridMultilevel"/>
    <w:tmpl w:val="72C8D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5F3181"/>
    <w:multiLevelType w:val="hybridMultilevel"/>
    <w:tmpl w:val="C5F6E3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3F2669"/>
    <w:multiLevelType w:val="hybridMultilevel"/>
    <w:tmpl w:val="A306A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CE7F76"/>
    <w:multiLevelType w:val="hybridMultilevel"/>
    <w:tmpl w:val="33161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687B1C"/>
    <w:multiLevelType w:val="hybridMultilevel"/>
    <w:tmpl w:val="54BC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D3ACA"/>
    <w:multiLevelType w:val="hybridMultilevel"/>
    <w:tmpl w:val="45BC9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C54726"/>
    <w:multiLevelType w:val="hybridMultilevel"/>
    <w:tmpl w:val="5CAC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27"/>
    <w:rsid w:val="000213D6"/>
    <w:rsid w:val="00090B27"/>
    <w:rsid w:val="00092A82"/>
    <w:rsid w:val="000966E8"/>
    <w:rsid w:val="000B15A1"/>
    <w:rsid w:val="000B1D24"/>
    <w:rsid w:val="000E1B6E"/>
    <w:rsid w:val="000F77EE"/>
    <w:rsid w:val="0017062E"/>
    <w:rsid w:val="00203E73"/>
    <w:rsid w:val="0022266D"/>
    <w:rsid w:val="00291AB3"/>
    <w:rsid w:val="002B3703"/>
    <w:rsid w:val="003533C8"/>
    <w:rsid w:val="0036686C"/>
    <w:rsid w:val="00440BA8"/>
    <w:rsid w:val="00466B58"/>
    <w:rsid w:val="004E789F"/>
    <w:rsid w:val="00555E8B"/>
    <w:rsid w:val="00562F05"/>
    <w:rsid w:val="005E55EF"/>
    <w:rsid w:val="00607B47"/>
    <w:rsid w:val="006C0963"/>
    <w:rsid w:val="006C5CAB"/>
    <w:rsid w:val="006E418A"/>
    <w:rsid w:val="007A17F5"/>
    <w:rsid w:val="00844FC5"/>
    <w:rsid w:val="00864D61"/>
    <w:rsid w:val="00876E66"/>
    <w:rsid w:val="008846AA"/>
    <w:rsid w:val="0088705F"/>
    <w:rsid w:val="008B3E11"/>
    <w:rsid w:val="009077B5"/>
    <w:rsid w:val="00954428"/>
    <w:rsid w:val="009C02E5"/>
    <w:rsid w:val="00A66111"/>
    <w:rsid w:val="00B518AA"/>
    <w:rsid w:val="00CD6F3C"/>
    <w:rsid w:val="00CD783E"/>
    <w:rsid w:val="00CE0C6C"/>
    <w:rsid w:val="00CE4ED3"/>
    <w:rsid w:val="00D7320C"/>
    <w:rsid w:val="00E41BCA"/>
    <w:rsid w:val="00E9186B"/>
    <w:rsid w:val="00EA015D"/>
    <w:rsid w:val="00EC42E3"/>
    <w:rsid w:val="00F64C53"/>
    <w:rsid w:val="00F77B1C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2CEA"/>
  <w15:chartTrackingRefBased/>
  <w15:docId w15:val="{9620EF34-06DD-42D2-ABCD-056EC598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7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5E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5E8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92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A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8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5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5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5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15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alingupnutrition.org/news/sun-donor-network-towards-a-common-methodology-to-track-global-investments-in-nutri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trizia.fracassi@und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ycosolon@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911C-D46D-42BA-8A85-495EA98E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Thuy</cp:lastModifiedBy>
  <cp:revision>2</cp:revision>
  <dcterms:created xsi:type="dcterms:W3CDTF">2014-08-25T07:56:00Z</dcterms:created>
  <dcterms:modified xsi:type="dcterms:W3CDTF">2014-08-25T07:56:00Z</dcterms:modified>
</cp:coreProperties>
</file>