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178" w14:textId="626F7384" w:rsidR="003126F1" w:rsidRPr="003126F1" w:rsidRDefault="006C384F" w:rsidP="003126F1">
      <w:pPr>
        <w:pStyle w:val="Default"/>
        <w:rPr>
          <w:i/>
          <w:iCs/>
        </w:rPr>
      </w:pPr>
      <w:r w:rsidRPr="003126F1">
        <w:rPr>
          <w:b/>
          <w:bCs/>
        </w:rPr>
        <w:t>NATIONAL MULTI-STAKEHOLDER PLATFORM</w:t>
      </w:r>
      <w:r w:rsidR="003126F1">
        <w:rPr>
          <w:b/>
          <w:bCs/>
        </w:rPr>
        <w:t xml:space="preserve"> </w:t>
      </w:r>
      <w:r w:rsidR="003126F1" w:rsidRPr="003126F1">
        <w:rPr>
          <w:i/>
          <w:iCs/>
        </w:rPr>
        <w:t>(Extract from the 2013 to 2017 MSP)</w:t>
      </w:r>
    </w:p>
    <w:p w14:paraId="31C346D3" w14:textId="77777777" w:rsidR="003126F1" w:rsidRDefault="003126F1" w:rsidP="003126F1">
      <w:pPr>
        <w:pStyle w:val="Default"/>
        <w:rPr>
          <w:sz w:val="23"/>
          <w:szCs w:val="23"/>
        </w:rPr>
      </w:pPr>
    </w:p>
    <w:p w14:paraId="3D09D844" w14:textId="68AF8D0E" w:rsidR="006C384F" w:rsidRPr="006C384F" w:rsidRDefault="006C384F" w:rsidP="003126F1">
      <w:pPr>
        <w:pStyle w:val="Default"/>
        <w:rPr>
          <w:b/>
          <w:bCs/>
        </w:rPr>
      </w:pPr>
      <w:r w:rsidRPr="006C384F">
        <w:rPr>
          <w:sz w:val="23"/>
          <w:szCs w:val="23"/>
        </w:rPr>
        <w:t xml:space="preserve">The </w:t>
      </w:r>
      <w:r>
        <w:rPr>
          <w:sz w:val="23"/>
          <w:szCs w:val="23"/>
        </w:rPr>
        <w:t xml:space="preserve">national multi-stakeholder platform </w:t>
      </w:r>
      <w:r w:rsidR="003126F1">
        <w:rPr>
          <w:sz w:val="23"/>
          <w:szCs w:val="23"/>
        </w:rPr>
        <w:t>consists</w:t>
      </w:r>
      <w:r>
        <w:rPr>
          <w:sz w:val="23"/>
          <w:szCs w:val="23"/>
        </w:rPr>
        <w:t xml:space="preserve"> of the following coordination</w:t>
      </w:r>
      <w:r w:rsidR="003126F1">
        <w:rPr>
          <w:sz w:val="23"/>
          <w:szCs w:val="23"/>
        </w:rPr>
        <w:t xml:space="preserve"> mechanisms</w:t>
      </w:r>
      <w:r w:rsidRPr="006C384F">
        <w:rPr>
          <w:sz w:val="23"/>
          <w:szCs w:val="23"/>
        </w:rPr>
        <w:t xml:space="preserve">: </w:t>
      </w:r>
    </w:p>
    <w:p w14:paraId="7756EC2C" w14:textId="77777777" w:rsidR="003126F1" w:rsidRDefault="006C384F" w:rsidP="003126F1">
      <w:pPr>
        <w:pStyle w:val="ListParagraph"/>
        <w:numPr>
          <w:ilvl w:val="0"/>
          <w:numId w:val="9"/>
        </w:numPr>
        <w:autoSpaceDE w:val="0"/>
        <w:autoSpaceDN w:val="0"/>
        <w:adjustRightInd w:val="0"/>
        <w:spacing w:after="0" w:line="240" w:lineRule="auto"/>
        <w:rPr>
          <w:rFonts w:ascii="Calibri" w:hAnsi="Calibri" w:cs="Calibri"/>
          <w:sz w:val="23"/>
          <w:szCs w:val="23"/>
        </w:rPr>
      </w:pPr>
      <w:r w:rsidRPr="003126F1">
        <w:rPr>
          <w:rFonts w:ascii="Calibri" w:hAnsi="Calibri" w:cs="Calibri"/>
          <w:sz w:val="23"/>
          <w:szCs w:val="23"/>
        </w:rPr>
        <w:t>National level Coordination mechanisms National Food and Nutrition Security Steering Committee</w:t>
      </w:r>
    </w:p>
    <w:p w14:paraId="17035624" w14:textId="7F839E25" w:rsidR="006C384F" w:rsidRPr="003126F1" w:rsidRDefault="003126F1" w:rsidP="003126F1">
      <w:pPr>
        <w:pStyle w:val="ListParagraph"/>
        <w:numPr>
          <w:ilvl w:val="0"/>
          <w:numId w:val="9"/>
        </w:numPr>
        <w:autoSpaceDE w:val="0"/>
        <w:autoSpaceDN w:val="0"/>
        <w:adjustRightInd w:val="0"/>
        <w:spacing w:after="0" w:line="240" w:lineRule="auto"/>
        <w:rPr>
          <w:rFonts w:ascii="Calibri" w:hAnsi="Calibri" w:cs="Calibri"/>
          <w:sz w:val="23"/>
          <w:szCs w:val="23"/>
        </w:rPr>
      </w:pPr>
      <w:r w:rsidRPr="003126F1">
        <w:rPr>
          <w:rFonts w:ascii="Calibri" w:hAnsi="Calibri" w:cs="Calibri"/>
          <w:sz w:val="23"/>
          <w:szCs w:val="23"/>
        </w:rPr>
        <w:t>National Food</w:t>
      </w:r>
      <w:r w:rsidR="006C384F" w:rsidRPr="003126F1">
        <w:rPr>
          <w:rFonts w:ascii="Calibri" w:hAnsi="Calibri" w:cs="Calibri"/>
          <w:sz w:val="23"/>
          <w:szCs w:val="23"/>
        </w:rPr>
        <w:t xml:space="preserve"> and Nutrition Security Technical Coordination Committee</w:t>
      </w:r>
      <w:r w:rsidRPr="003126F1">
        <w:rPr>
          <w:rFonts w:ascii="Calibri" w:hAnsi="Calibri" w:cs="Calibri"/>
          <w:sz w:val="23"/>
          <w:szCs w:val="23"/>
        </w:rPr>
        <w:t xml:space="preserve"> </w:t>
      </w:r>
      <w:r w:rsidR="006C384F" w:rsidRPr="003126F1">
        <w:rPr>
          <w:rFonts w:ascii="Calibri" w:hAnsi="Calibri" w:cs="Calibri"/>
          <w:sz w:val="23"/>
          <w:szCs w:val="23"/>
        </w:rPr>
        <w:t>Sector based technical coordination</w:t>
      </w:r>
      <w:r w:rsidRPr="003126F1">
        <w:rPr>
          <w:rFonts w:ascii="Calibri" w:hAnsi="Calibri" w:cs="Calibri"/>
          <w:sz w:val="23"/>
          <w:szCs w:val="23"/>
        </w:rPr>
        <w:t xml:space="preserve"> m</w:t>
      </w:r>
      <w:r w:rsidR="006C384F" w:rsidRPr="003126F1">
        <w:rPr>
          <w:rFonts w:ascii="Calibri" w:hAnsi="Calibri" w:cs="Calibri"/>
          <w:sz w:val="23"/>
          <w:szCs w:val="23"/>
        </w:rPr>
        <w:t xml:space="preserve">echanisms </w:t>
      </w:r>
    </w:p>
    <w:p w14:paraId="4F55B309" w14:textId="5B01C20D" w:rsidR="006C384F" w:rsidRPr="003126F1" w:rsidRDefault="006C384F" w:rsidP="003126F1">
      <w:pPr>
        <w:pStyle w:val="ListParagraph"/>
        <w:numPr>
          <w:ilvl w:val="0"/>
          <w:numId w:val="9"/>
        </w:numPr>
        <w:autoSpaceDE w:val="0"/>
        <w:autoSpaceDN w:val="0"/>
        <w:adjustRightInd w:val="0"/>
        <w:spacing w:after="0" w:line="240" w:lineRule="auto"/>
        <w:rPr>
          <w:rFonts w:ascii="Calibri" w:hAnsi="Calibri" w:cs="Calibri"/>
          <w:sz w:val="23"/>
          <w:szCs w:val="23"/>
        </w:rPr>
      </w:pPr>
      <w:r w:rsidRPr="003126F1">
        <w:rPr>
          <w:rFonts w:ascii="Calibri" w:hAnsi="Calibri" w:cs="Calibri"/>
          <w:sz w:val="23"/>
          <w:szCs w:val="23"/>
        </w:rPr>
        <w:t xml:space="preserve">Sub national level Coordination mechanisms </w:t>
      </w:r>
    </w:p>
    <w:p w14:paraId="25C24905" w14:textId="77777777" w:rsidR="006C384F" w:rsidRPr="003126F1" w:rsidRDefault="006C384F" w:rsidP="003126F1">
      <w:pPr>
        <w:pStyle w:val="ListParagraph"/>
        <w:numPr>
          <w:ilvl w:val="0"/>
          <w:numId w:val="10"/>
        </w:numPr>
        <w:autoSpaceDE w:val="0"/>
        <w:autoSpaceDN w:val="0"/>
        <w:adjustRightInd w:val="0"/>
        <w:spacing w:after="0" w:line="240" w:lineRule="auto"/>
        <w:ind w:left="720"/>
        <w:rPr>
          <w:rFonts w:ascii="Calibri" w:hAnsi="Calibri" w:cs="Calibri"/>
          <w:sz w:val="23"/>
          <w:szCs w:val="23"/>
        </w:rPr>
      </w:pPr>
      <w:r w:rsidRPr="003126F1">
        <w:rPr>
          <w:rFonts w:ascii="Calibri" w:hAnsi="Calibri" w:cs="Calibri"/>
          <w:sz w:val="23"/>
          <w:szCs w:val="23"/>
        </w:rPr>
        <w:t xml:space="preserve">District Food and Nutrition Security Coordination committee </w:t>
      </w:r>
    </w:p>
    <w:p w14:paraId="29781C1C" w14:textId="77777777" w:rsidR="006C384F" w:rsidRPr="003126F1" w:rsidRDefault="006C384F" w:rsidP="003126F1">
      <w:pPr>
        <w:pStyle w:val="ListParagraph"/>
        <w:numPr>
          <w:ilvl w:val="0"/>
          <w:numId w:val="10"/>
        </w:numPr>
        <w:autoSpaceDE w:val="0"/>
        <w:autoSpaceDN w:val="0"/>
        <w:adjustRightInd w:val="0"/>
        <w:spacing w:after="0" w:line="240" w:lineRule="auto"/>
        <w:ind w:left="720"/>
        <w:rPr>
          <w:rFonts w:ascii="Calibri" w:hAnsi="Calibri" w:cs="Calibri"/>
          <w:sz w:val="23"/>
          <w:szCs w:val="23"/>
        </w:rPr>
      </w:pPr>
      <w:r w:rsidRPr="003126F1">
        <w:rPr>
          <w:rFonts w:ascii="Calibri" w:hAnsi="Calibri" w:cs="Calibri"/>
          <w:sz w:val="23"/>
          <w:szCs w:val="23"/>
        </w:rPr>
        <w:t xml:space="preserve">District Sector Coordination Committees </w:t>
      </w:r>
    </w:p>
    <w:p w14:paraId="7FDB2919" w14:textId="77777777" w:rsidR="006C384F" w:rsidRPr="003126F1" w:rsidRDefault="006C384F" w:rsidP="003126F1">
      <w:pPr>
        <w:pStyle w:val="ListParagraph"/>
        <w:numPr>
          <w:ilvl w:val="0"/>
          <w:numId w:val="10"/>
        </w:numPr>
        <w:autoSpaceDE w:val="0"/>
        <w:autoSpaceDN w:val="0"/>
        <w:adjustRightInd w:val="0"/>
        <w:spacing w:after="0" w:line="240" w:lineRule="auto"/>
        <w:ind w:left="720"/>
        <w:rPr>
          <w:rFonts w:ascii="Calibri" w:hAnsi="Calibri" w:cs="Calibri"/>
          <w:sz w:val="23"/>
          <w:szCs w:val="23"/>
        </w:rPr>
      </w:pPr>
      <w:r w:rsidRPr="003126F1">
        <w:rPr>
          <w:rFonts w:ascii="Calibri" w:hAnsi="Calibri" w:cs="Calibri"/>
          <w:sz w:val="23"/>
          <w:szCs w:val="23"/>
        </w:rPr>
        <w:t xml:space="preserve">Chiefdom/Ward/Village Coordination Committees </w:t>
      </w:r>
    </w:p>
    <w:p w14:paraId="4A4DDA4E" w14:textId="77777777" w:rsidR="006C384F" w:rsidRDefault="006C384F" w:rsidP="003126F1">
      <w:pPr>
        <w:pStyle w:val="Default"/>
      </w:pPr>
    </w:p>
    <w:p w14:paraId="0D83367E" w14:textId="49683E66" w:rsidR="006C384F" w:rsidRDefault="006C384F" w:rsidP="006C384F">
      <w:pPr>
        <w:pStyle w:val="Pa2"/>
        <w:jc w:val="both"/>
        <w:rPr>
          <w:sz w:val="26"/>
          <w:szCs w:val="26"/>
        </w:rPr>
      </w:pPr>
      <w:r>
        <w:rPr>
          <w:rStyle w:val="A13"/>
          <w:color w:val="auto"/>
        </w:rPr>
        <w:t xml:space="preserve">National level coordination mechanisms </w:t>
      </w:r>
    </w:p>
    <w:p w14:paraId="7DCE36C4" w14:textId="07C750D3" w:rsidR="006C384F" w:rsidRDefault="006C384F" w:rsidP="006C384F">
      <w:pPr>
        <w:pStyle w:val="Pa2"/>
        <w:jc w:val="both"/>
        <w:rPr>
          <w:sz w:val="23"/>
          <w:szCs w:val="23"/>
        </w:rPr>
      </w:pPr>
      <w:r>
        <w:rPr>
          <w:sz w:val="23"/>
          <w:szCs w:val="23"/>
        </w:rPr>
        <w:t xml:space="preserve">The </w:t>
      </w:r>
      <w:r>
        <w:rPr>
          <w:rStyle w:val="A14"/>
          <w:color w:val="auto"/>
          <w:sz w:val="23"/>
          <w:szCs w:val="23"/>
        </w:rPr>
        <w:t xml:space="preserve">Food and Nutrition Security Steering Committee </w:t>
      </w:r>
      <w:r>
        <w:rPr>
          <w:sz w:val="23"/>
          <w:szCs w:val="23"/>
        </w:rPr>
        <w:t xml:space="preserve">is the top-most policy making body governing the Food and Nutrition Security Implementation Plan. The Vice President chairs </w:t>
      </w:r>
      <w:r>
        <w:rPr>
          <w:sz w:val="23"/>
          <w:szCs w:val="23"/>
        </w:rPr>
        <w:t>it,</w:t>
      </w:r>
      <w:r>
        <w:rPr>
          <w:sz w:val="23"/>
          <w:szCs w:val="23"/>
        </w:rPr>
        <w:t xml:space="preserve"> and its members include all Ministers (MOHS, MAFFS, MSWGCA, MEST, MMR, MTI, MLG, MWR, and MOFED), and representatives from </w:t>
      </w:r>
      <w:proofErr w:type="spellStart"/>
      <w:r>
        <w:rPr>
          <w:sz w:val="23"/>
          <w:szCs w:val="23"/>
        </w:rPr>
        <w:t>NaCSA</w:t>
      </w:r>
      <w:proofErr w:type="spellEnd"/>
      <w:r>
        <w:rPr>
          <w:sz w:val="23"/>
          <w:szCs w:val="23"/>
        </w:rPr>
        <w:t xml:space="preserve">, UN, and Donor agencies involved in the implementation of the Food and Nutrition Security Implementation Plan. The Steering Committee meets once every quarter In line with its existing roles, it provides the overall strategic vision to promote food and nutrition security through an inter-sectoral approach. </w:t>
      </w:r>
    </w:p>
    <w:p w14:paraId="6B1809D7" w14:textId="2CF7EA2F" w:rsidR="006C384F" w:rsidRDefault="006C384F" w:rsidP="006C384F">
      <w:pPr>
        <w:pStyle w:val="Pa2"/>
        <w:jc w:val="both"/>
        <w:rPr>
          <w:sz w:val="23"/>
          <w:szCs w:val="23"/>
        </w:rPr>
      </w:pPr>
      <w:r>
        <w:rPr>
          <w:sz w:val="23"/>
          <w:szCs w:val="23"/>
        </w:rPr>
        <w:t xml:space="preserve">The steering committee meets on a </w:t>
      </w:r>
      <w:r w:rsidR="003126F1">
        <w:rPr>
          <w:sz w:val="23"/>
          <w:szCs w:val="23"/>
        </w:rPr>
        <w:t>bi-annual</w:t>
      </w:r>
      <w:r>
        <w:rPr>
          <w:sz w:val="23"/>
          <w:szCs w:val="23"/>
        </w:rPr>
        <w:t xml:space="preserve"> basis. </w:t>
      </w:r>
    </w:p>
    <w:p w14:paraId="4CAE2A1A" w14:textId="77777777" w:rsidR="003126F1" w:rsidRDefault="003126F1" w:rsidP="006C384F">
      <w:pPr>
        <w:pStyle w:val="Pa2"/>
        <w:jc w:val="both"/>
        <w:rPr>
          <w:rStyle w:val="A13"/>
          <w:color w:val="auto"/>
        </w:rPr>
      </w:pPr>
    </w:p>
    <w:p w14:paraId="143E7B10" w14:textId="3DDFC5A5" w:rsidR="006C384F" w:rsidRDefault="006C384F" w:rsidP="006C384F">
      <w:pPr>
        <w:pStyle w:val="Pa2"/>
        <w:jc w:val="both"/>
        <w:rPr>
          <w:sz w:val="26"/>
          <w:szCs w:val="26"/>
        </w:rPr>
      </w:pPr>
      <w:r>
        <w:rPr>
          <w:rStyle w:val="A13"/>
          <w:color w:val="auto"/>
        </w:rPr>
        <w:t xml:space="preserve">The roles of </w:t>
      </w:r>
      <w:r>
        <w:rPr>
          <w:rStyle w:val="A15"/>
          <w:color w:val="auto"/>
        </w:rPr>
        <w:t xml:space="preserve">Food and Nutrition Security Steering Committee </w:t>
      </w:r>
      <w:r>
        <w:rPr>
          <w:rStyle w:val="A13"/>
          <w:color w:val="auto"/>
        </w:rPr>
        <w:t xml:space="preserve">include: </w:t>
      </w:r>
    </w:p>
    <w:p w14:paraId="3BDCEACA" w14:textId="3AC3B1D4" w:rsidR="006C384F" w:rsidRPr="006C384F" w:rsidRDefault="006C384F" w:rsidP="006C384F">
      <w:pPr>
        <w:pStyle w:val="Default"/>
      </w:pPr>
      <w:r>
        <w:rPr>
          <w:color w:val="auto"/>
          <w:sz w:val="23"/>
          <w:szCs w:val="23"/>
        </w:rPr>
        <w:t xml:space="preserve">To provide strategic direction to the Food and Nutrition Security Implementation Plan and take key policy decisions; this </w:t>
      </w:r>
      <w:r>
        <w:rPr>
          <w:color w:val="auto"/>
          <w:sz w:val="23"/>
          <w:szCs w:val="23"/>
        </w:rPr>
        <w:t>includes</w:t>
      </w:r>
      <w:r>
        <w:rPr>
          <w:color w:val="auto"/>
          <w:sz w:val="23"/>
          <w:szCs w:val="23"/>
        </w:rPr>
        <w:t xml:space="preserve"> policy issues which cut across </w:t>
      </w:r>
      <w:proofErr w:type="gramStart"/>
      <w:r>
        <w:rPr>
          <w:color w:val="auto"/>
          <w:sz w:val="23"/>
          <w:szCs w:val="23"/>
        </w:rPr>
        <w:t>a number of</w:t>
      </w:r>
      <w:proofErr w:type="gramEnd"/>
      <w:r>
        <w:rPr>
          <w:color w:val="auto"/>
          <w:sz w:val="23"/>
          <w:szCs w:val="23"/>
        </w:rPr>
        <w:t xml:space="preserve"> areas of government’s work, spanning </w:t>
      </w:r>
    </w:p>
    <w:p w14:paraId="25281B9B" w14:textId="13B0F8CC" w:rsidR="006C384F" w:rsidRDefault="006C384F" w:rsidP="006C384F">
      <w:p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multiple government </w:t>
      </w:r>
      <w:r w:rsidRPr="006C384F">
        <w:rPr>
          <w:rFonts w:ascii="Calibri" w:hAnsi="Calibri" w:cs="Calibri"/>
          <w:sz w:val="23"/>
          <w:szCs w:val="23"/>
        </w:rPr>
        <w:t>ministries.</w:t>
      </w:r>
    </w:p>
    <w:p w14:paraId="074556B2" w14:textId="0A1BA111" w:rsidR="006C384F" w:rsidRDefault="006C384F" w:rsidP="006C384F">
      <w:pPr>
        <w:autoSpaceDE w:val="0"/>
        <w:autoSpaceDN w:val="0"/>
        <w:adjustRightInd w:val="0"/>
        <w:spacing w:after="0" w:line="240" w:lineRule="auto"/>
        <w:rPr>
          <w:rFonts w:ascii="Calibri" w:hAnsi="Calibri" w:cs="Calibri"/>
          <w:sz w:val="23"/>
          <w:szCs w:val="23"/>
        </w:rPr>
      </w:pPr>
    </w:p>
    <w:p w14:paraId="60FEB7B4" w14:textId="0C35F64A" w:rsidR="006C384F" w:rsidRDefault="006C384F" w:rsidP="006C384F">
      <w:pPr>
        <w:autoSpaceDE w:val="0"/>
        <w:autoSpaceDN w:val="0"/>
        <w:adjustRightInd w:val="0"/>
        <w:spacing w:after="0" w:line="240" w:lineRule="auto"/>
        <w:rPr>
          <w:rFonts w:ascii="Calibri" w:hAnsi="Calibri" w:cs="Calibri"/>
          <w:b/>
          <w:bCs/>
          <w:i/>
          <w:iCs/>
          <w:sz w:val="26"/>
          <w:szCs w:val="26"/>
          <w:u w:val="single"/>
        </w:rPr>
      </w:pPr>
      <w:r w:rsidRPr="006C384F">
        <w:rPr>
          <w:rFonts w:ascii="Calibri" w:hAnsi="Calibri" w:cs="Calibri"/>
          <w:b/>
          <w:bCs/>
          <w:i/>
          <w:iCs/>
          <w:sz w:val="26"/>
          <w:szCs w:val="26"/>
          <w:u w:val="single"/>
        </w:rPr>
        <w:t>National Food and Nutrition Security Technical Coordination Committee:</w:t>
      </w:r>
    </w:p>
    <w:p w14:paraId="22DBBE6B" w14:textId="77777777" w:rsidR="006C384F" w:rsidRPr="006C384F" w:rsidRDefault="006C384F" w:rsidP="006C384F">
      <w:pPr>
        <w:autoSpaceDE w:val="0"/>
        <w:autoSpaceDN w:val="0"/>
        <w:adjustRightInd w:val="0"/>
        <w:spacing w:after="0" w:line="240" w:lineRule="auto"/>
        <w:rPr>
          <w:rFonts w:ascii="Calibri" w:hAnsi="Calibri" w:cs="Calibri"/>
          <w:color w:val="000000"/>
          <w:sz w:val="24"/>
          <w:szCs w:val="24"/>
        </w:rPr>
      </w:pPr>
    </w:p>
    <w:p w14:paraId="6324D680" w14:textId="77777777" w:rsidR="006C384F" w:rsidRPr="006C384F" w:rsidRDefault="006C384F" w:rsidP="006C384F">
      <w:pPr>
        <w:autoSpaceDE w:val="0"/>
        <w:autoSpaceDN w:val="0"/>
        <w:adjustRightInd w:val="0"/>
        <w:spacing w:after="0" w:line="241" w:lineRule="atLeast"/>
        <w:jc w:val="both"/>
        <w:rPr>
          <w:rFonts w:ascii="Calibri" w:hAnsi="Calibri" w:cs="Calibri"/>
          <w:sz w:val="23"/>
          <w:szCs w:val="23"/>
        </w:rPr>
      </w:pPr>
      <w:r w:rsidRPr="006C384F">
        <w:rPr>
          <w:rFonts w:ascii="Calibri" w:hAnsi="Calibri" w:cs="Calibri"/>
          <w:sz w:val="23"/>
          <w:szCs w:val="23"/>
        </w:rPr>
        <w:t xml:space="preserve">structure is the operational or technical arm of the steering committee that meets on a quarterly basis. This is a Multi-Sector Technical Committee and its membership comprise of key technical experts from the relevant government ministries, Research Institutions, UN Agencies, Development Partners, Private Sector, Research, Academia, </w:t>
      </w:r>
      <w:proofErr w:type="gramStart"/>
      <w:r w:rsidRPr="006C384F">
        <w:rPr>
          <w:rFonts w:ascii="Calibri" w:hAnsi="Calibri" w:cs="Calibri"/>
          <w:sz w:val="23"/>
          <w:szCs w:val="23"/>
        </w:rPr>
        <w:t>NGOs</w:t>
      </w:r>
      <w:proofErr w:type="gramEnd"/>
      <w:r w:rsidRPr="006C384F">
        <w:rPr>
          <w:rFonts w:ascii="Calibri" w:hAnsi="Calibri" w:cs="Calibri"/>
          <w:sz w:val="23"/>
          <w:szCs w:val="23"/>
        </w:rPr>
        <w:t xml:space="preserve"> and the Civil Society (Diagram 11). The Committee will be alternatively chaired and co-chaired by the MOHS (Chief Medical Officer) and MAFFS (Director General) and will meet on a quar</w:t>
      </w:r>
      <w:r w:rsidRPr="006C384F">
        <w:rPr>
          <w:rFonts w:ascii="Calibri" w:hAnsi="Calibri" w:cs="Calibri"/>
          <w:sz w:val="23"/>
          <w:szCs w:val="23"/>
        </w:rPr>
        <w:softHyphen/>
        <w:t xml:space="preserve">terly basis and report to the Steering Committee through the SUN Secretariat. </w:t>
      </w:r>
    </w:p>
    <w:p w14:paraId="0A767425" w14:textId="77777777" w:rsidR="003126F1" w:rsidRDefault="003126F1" w:rsidP="006C384F">
      <w:pPr>
        <w:autoSpaceDE w:val="0"/>
        <w:autoSpaceDN w:val="0"/>
        <w:adjustRightInd w:val="0"/>
        <w:spacing w:after="0" w:line="241" w:lineRule="atLeast"/>
        <w:jc w:val="both"/>
        <w:rPr>
          <w:rFonts w:ascii="Calibri" w:hAnsi="Calibri" w:cs="Calibri"/>
          <w:b/>
          <w:bCs/>
          <w:sz w:val="26"/>
          <w:szCs w:val="26"/>
        </w:rPr>
      </w:pPr>
    </w:p>
    <w:p w14:paraId="1745DF38" w14:textId="5091F525" w:rsidR="006C384F" w:rsidRPr="006C384F" w:rsidRDefault="006C384F" w:rsidP="006C384F">
      <w:pPr>
        <w:autoSpaceDE w:val="0"/>
        <w:autoSpaceDN w:val="0"/>
        <w:adjustRightInd w:val="0"/>
        <w:spacing w:after="0" w:line="241" w:lineRule="atLeast"/>
        <w:jc w:val="both"/>
        <w:rPr>
          <w:rFonts w:ascii="Calibri" w:hAnsi="Calibri" w:cs="Calibri"/>
          <w:sz w:val="26"/>
          <w:szCs w:val="26"/>
        </w:rPr>
      </w:pPr>
      <w:r w:rsidRPr="006C384F">
        <w:rPr>
          <w:rFonts w:ascii="Calibri" w:hAnsi="Calibri" w:cs="Calibri"/>
          <w:b/>
          <w:bCs/>
          <w:sz w:val="26"/>
          <w:szCs w:val="26"/>
        </w:rPr>
        <w:t xml:space="preserve">Roles and Responsibilities </w:t>
      </w:r>
    </w:p>
    <w:p w14:paraId="6E911E57" w14:textId="77777777" w:rsidR="006C384F" w:rsidRPr="006C384F" w:rsidRDefault="006C384F" w:rsidP="006C384F">
      <w:pPr>
        <w:autoSpaceDE w:val="0"/>
        <w:autoSpaceDN w:val="0"/>
        <w:adjustRightInd w:val="0"/>
        <w:spacing w:after="0" w:line="241" w:lineRule="atLeast"/>
        <w:jc w:val="both"/>
        <w:rPr>
          <w:rFonts w:ascii="Calibri" w:hAnsi="Calibri" w:cs="Calibri"/>
          <w:sz w:val="23"/>
          <w:szCs w:val="23"/>
        </w:rPr>
      </w:pPr>
      <w:r w:rsidRPr="006C384F">
        <w:rPr>
          <w:rFonts w:ascii="Calibri" w:hAnsi="Calibri" w:cs="Calibri"/>
          <w:sz w:val="23"/>
          <w:szCs w:val="23"/>
        </w:rPr>
        <w:t xml:space="preserve">The Technical Committee will undertake the following responsibilities: </w:t>
      </w:r>
    </w:p>
    <w:p w14:paraId="5045D5E2"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Ensure sector plans are aligned with policy </w:t>
      </w:r>
    </w:p>
    <w:p w14:paraId="222B16B2"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Promote and support joint sector planning </w:t>
      </w:r>
    </w:p>
    <w:p w14:paraId="6A126B1A"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Harmonize strategies for execution of interventions </w:t>
      </w:r>
    </w:p>
    <w:p w14:paraId="5FA3A660"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Provide regular update to the Committee on on-going field activities </w:t>
      </w:r>
    </w:p>
    <w:p w14:paraId="24329A3A"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Undertake technical review and propose update of policy </w:t>
      </w:r>
    </w:p>
    <w:p w14:paraId="44536562"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Develop and update national database for nutrition </w:t>
      </w:r>
    </w:p>
    <w:p w14:paraId="4E6530ED"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Oversee M&amp;E and supervision of activities </w:t>
      </w:r>
    </w:p>
    <w:p w14:paraId="1B12C326" w14:textId="77777777" w:rsidR="006C384F" w:rsidRPr="006C384F" w:rsidRDefault="006C384F" w:rsidP="006C384F">
      <w:pPr>
        <w:numPr>
          <w:ilvl w:val="0"/>
          <w:numId w:val="2"/>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Coordinate actions with the district level, providing technical support, guidelines, supervision and feed</w:t>
      </w:r>
      <w:r w:rsidRPr="006C384F">
        <w:rPr>
          <w:rFonts w:ascii="Calibri" w:hAnsi="Calibri" w:cs="Calibri"/>
          <w:sz w:val="23"/>
          <w:szCs w:val="23"/>
        </w:rPr>
        <w:softHyphen/>
        <w:t>back</w:t>
      </w:r>
    </w:p>
    <w:p w14:paraId="051E646D" w14:textId="77777777" w:rsidR="006C384F" w:rsidRPr="006C384F" w:rsidRDefault="006C384F" w:rsidP="006C384F">
      <w:pPr>
        <w:autoSpaceDE w:val="0"/>
        <w:autoSpaceDN w:val="0"/>
        <w:adjustRightInd w:val="0"/>
        <w:spacing w:after="0" w:line="240" w:lineRule="auto"/>
        <w:rPr>
          <w:rFonts w:ascii="Calibri" w:hAnsi="Calibri" w:cs="Calibri"/>
          <w:color w:val="000000"/>
          <w:sz w:val="24"/>
          <w:szCs w:val="24"/>
        </w:rPr>
      </w:pPr>
    </w:p>
    <w:p w14:paraId="79FF652A" w14:textId="77777777" w:rsidR="006C384F" w:rsidRPr="006C384F" w:rsidRDefault="006C384F" w:rsidP="006C384F">
      <w:pPr>
        <w:autoSpaceDE w:val="0"/>
        <w:autoSpaceDN w:val="0"/>
        <w:adjustRightInd w:val="0"/>
        <w:spacing w:after="0" w:line="241" w:lineRule="atLeast"/>
        <w:jc w:val="both"/>
        <w:rPr>
          <w:rFonts w:ascii="Calibri" w:hAnsi="Calibri" w:cs="Calibri"/>
          <w:sz w:val="23"/>
          <w:szCs w:val="23"/>
        </w:rPr>
      </w:pPr>
      <w:r w:rsidRPr="006C384F">
        <w:rPr>
          <w:rFonts w:ascii="Calibri" w:hAnsi="Calibri" w:cs="Calibri"/>
          <w:sz w:val="23"/>
          <w:szCs w:val="23"/>
        </w:rPr>
        <w:t xml:space="preserve">The national sector based technical coordination mechanisms </w:t>
      </w:r>
      <w:proofErr w:type="gramStart"/>
      <w:r w:rsidRPr="006C384F">
        <w:rPr>
          <w:rFonts w:ascii="Calibri" w:hAnsi="Calibri" w:cs="Calibri"/>
          <w:sz w:val="23"/>
          <w:szCs w:val="23"/>
        </w:rPr>
        <w:t>i.e.</w:t>
      </w:r>
      <w:proofErr w:type="gramEnd"/>
      <w:r w:rsidRPr="006C384F">
        <w:rPr>
          <w:rFonts w:ascii="Calibri" w:hAnsi="Calibri" w:cs="Calibri"/>
          <w:sz w:val="23"/>
          <w:szCs w:val="23"/>
        </w:rPr>
        <w:t xml:space="preserve"> Nutrition technical coordination commit</w:t>
      </w:r>
      <w:r w:rsidRPr="006C384F">
        <w:rPr>
          <w:rFonts w:ascii="Calibri" w:hAnsi="Calibri" w:cs="Calibri"/>
          <w:sz w:val="23"/>
          <w:szCs w:val="23"/>
        </w:rPr>
        <w:softHyphen/>
        <w:t>tee, WASH committee, the Health Development Partners committee and the Agriculture Advisory Group will continue with their functions and they will play a supportive role to the Food and Nutrition security coordi</w:t>
      </w:r>
      <w:r w:rsidRPr="006C384F">
        <w:rPr>
          <w:rFonts w:ascii="Calibri" w:hAnsi="Calibri" w:cs="Calibri"/>
          <w:sz w:val="23"/>
          <w:szCs w:val="23"/>
        </w:rPr>
        <w:softHyphen/>
        <w:t xml:space="preserve">nation committees. </w:t>
      </w:r>
    </w:p>
    <w:p w14:paraId="0B1181B5" w14:textId="77777777" w:rsidR="003126F1" w:rsidRDefault="003126F1" w:rsidP="006C384F">
      <w:pPr>
        <w:autoSpaceDE w:val="0"/>
        <w:autoSpaceDN w:val="0"/>
        <w:adjustRightInd w:val="0"/>
        <w:spacing w:after="0" w:line="241" w:lineRule="atLeast"/>
        <w:jc w:val="both"/>
        <w:rPr>
          <w:rFonts w:ascii="Calibri" w:hAnsi="Calibri" w:cs="Calibri"/>
          <w:b/>
          <w:bCs/>
          <w:i/>
          <w:iCs/>
          <w:sz w:val="26"/>
          <w:szCs w:val="26"/>
        </w:rPr>
      </w:pPr>
    </w:p>
    <w:p w14:paraId="3F058BA8" w14:textId="77777777" w:rsidR="003126F1" w:rsidRDefault="003126F1" w:rsidP="006C384F">
      <w:pPr>
        <w:autoSpaceDE w:val="0"/>
        <w:autoSpaceDN w:val="0"/>
        <w:adjustRightInd w:val="0"/>
        <w:spacing w:after="0" w:line="241" w:lineRule="atLeast"/>
        <w:jc w:val="both"/>
        <w:rPr>
          <w:rFonts w:ascii="Calibri" w:hAnsi="Calibri" w:cs="Calibri"/>
          <w:b/>
          <w:bCs/>
          <w:i/>
          <w:iCs/>
          <w:sz w:val="26"/>
          <w:szCs w:val="26"/>
        </w:rPr>
      </w:pPr>
    </w:p>
    <w:p w14:paraId="63CD59D7" w14:textId="77777777" w:rsidR="003126F1" w:rsidRDefault="003126F1" w:rsidP="006C384F">
      <w:pPr>
        <w:autoSpaceDE w:val="0"/>
        <w:autoSpaceDN w:val="0"/>
        <w:adjustRightInd w:val="0"/>
        <w:spacing w:after="0" w:line="241" w:lineRule="atLeast"/>
        <w:jc w:val="both"/>
        <w:rPr>
          <w:rFonts w:ascii="Calibri" w:hAnsi="Calibri" w:cs="Calibri"/>
          <w:b/>
          <w:bCs/>
          <w:i/>
          <w:iCs/>
          <w:sz w:val="26"/>
          <w:szCs w:val="26"/>
        </w:rPr>
      </w:pPr>
    </w:p>
    <w:p w14:paraId="55D8E59B" w14:textId="52CB7ED4" w:rsidR="006C384F" w:rsidRPr="006C384F" w:rsidRDefault="006C384F" w:rsidP="006C384F">
      <w:pPr>
        <w:autoSpaceDE w:val="0"/>
        <w:autoSpaceDN w:val="0"/>
        <w:adjustRightInd w:val="0"/>
        <w:spacing w:after="0" w:line="241" w:lineRule="atLeast"/>
        <w:jc w:val="both"/>
        <w:rPr>
          <w:rFonts w:ascii="Calibri" w:hAnsi="Calibri" w:cs="Calibri"/>
          <w:sz w:val="26"/>
          <w:szCs w:val="26"/>
        </w:rPr>
      </w:pPr>
      <w:r w:rsidRPr="006C384F">
        <w:rPr>
          <w:rFonts w:ascii="Calibri" w:hAnsi="Calibri" w:cs="Calibri"/>
          <w:b/>
          <w:bCs/>
          <w:i/>
          <w:iCs/>
          <w:sz w:val="26"/>
          <w:szCs w:val="26"/>
        </w:rPr>
        <w:lastRenderedPageBreak/>
        <w:t xml:space="preserve">The SUN Secretariat </w:t>
      </w:r>
    </w:p>
    <w:p w14:paraId="7CED5421" w14:textId="77777777" w:rsidR="006C384F" w:rsidRPr="006C384F" w:rsidRDefault="006C384F" w:rsidP="006C384F">
      <w:pPr>
        <w:autoSpaceDE w:val="0"/>
        <w:autoSpaceDN w:val="0"/>
        <w:adjustRightInd w:val="0"/>
        <w:spacing w:after="0" w:line="241" w:lineRule="atLeast"/>
        <w:jc w:val="both"/>
        <w:rPr>
          <w:rFonts w:ascii="Calibri" w:hAnsi="Calibri" w:cs="Calibri"/>
          <w:sz w:val="23"/>
          <w:szCs w:val="23"/>
        </w:rPr>
      </w:pPr>
      <w:r w:rsidRPr="006C384F">
        <w:rPr>
          <w:rFonts w:ascii="Calibri" w:hAnsi="Calibri" w:cs="Calibri"/>
          <w:sz w:val="23"/>
          <w:szCs w:val="23"/>
        </w:rPr>
        <w:t>The SUN Secretariat has been established in the office of the Vice President with the primary mandate to coordinate the efforts of different SUN Movement stakeholders, to manage the Secretariat of core staff and support the Vice President in facilitating and leading coordination, promote networking, resource mobili</w:t>
      </w:r>
      <w:r w:rsidRPr="006C384F">
        <w:rPr>
          <w:rFonts w:ascii="Calibri" w:hAnsi="Calibri" w:cs="Calibri"/>
          <w:sz w:val="23"/>
          <w:szCs w:val="23"/>
        </w:rPr>
        <w:softHyphen/>
        <w:t xml:space="preserve">zation and implementation of SUN activities as well as muster multi-sectoral collaboration with a clear and sustained political commitment. </w:t>
      </w:r>
    </w:p>
    <w:p w14:paraId="09849DE6" w14:textId="77777777" w:rsidR="003126F1" w:rsidRDefault="003126F1" w:rsidP="006C384F">
      <w:pPr>
        <w:autoSpaceDE w:val="0"/>
        <w:autoSpaceDN w:val="0"/>
        <w:adjustRightInd w:val="0"/>
        <w:spacing w:after="0" w:line="241" w:lineRule="atLeast"/>
        <w:jc w:val="both"/>
        <w:rPr>
          <w:rFonts w:ascii="Calibri" w:hAnsi="Calibri" w:cs="Calibri"/>
          <w:b/>
          <w:bCs/>
          <w:sz w:val="26"/>
          <w:szCs w:val="26"/>
        </w:rPr>
      </w:pPr>
    </w:p>
    <w:p w14:paraId="37C17A9D" w14:textId="57FC6A3D" w:rsidR="006C384F" w:rsidRPr="006C384F" w:rsidRDefault="006C384F" w:rsidP="006C384F">
      <w:pPr>
        <w:autoSpaceDE w:val="0"/>
        <w:autoSpaceDN w:val="0"/>
        <w:adjustRightInd w:val="0"/>
        <w:spacing w:after="0" w:line="241" w:lineRule="atLeast"/>
        <w:jc w:val="both"/>
        <w:rPr>
          <w:rFonts w:ascii="Calibri" w:hAnsi="Calibri" w:cs="Calibri"/>
          <w:sz w:val="26"/>
          <w:szCs w:val="26"/>
        </w:rPr>
      </w:pPr>
      <w:r w:rsidRPr="006C384F">
        <w:rPr>
          <w:rFonts w:ascii="Calibri" w:hAnsi="Calibri" w:cs="Calibri"/>
          <w:b/>
          <w:bCs/>
          <w:sz w:val="26"/>
          <w:szCs w:val="26"/>
        </w:rPr>
        <w:t xml:space="preserve">Roles and responsibilities </w:t>
      </w:r>
    </w:p>
    <w:p w14:paraId="14899FFF" w14:textId="77777777" w:rsidR="006C384F" w:rsidRPr="006C384F" w:rsidRDefault="006C384F" w:rsidP="006C384F">
      <w:pPr>
        <w:autoSpaceDE w:val="0"/>
        <w:autoSpaceDN w:val="0"/>
        <w:adjustRightInd w:val="0"/>
        <w:spacing w:after="0" w:line="241" w:lineRule="atLeast"/>
        <w:jc w:val="both"/>
        <w:rPr>
          <w:rFonts w:ascii="Calibri" w:hAnsi="Calibri" w:cs="Calibri"/>
          <w:sz w:val="23"/>
          <w:szCs w:val="23"/>
        </w:rPr>
      </w:pPr>
      <w:r w:rsidRPr="006C384F">
        <w:rPr>
          <w:rFonts w:ascii="Calibri" w:hAnsi="Calibri" w:cs="Calibri"/>
          <w:sz w:val="23"/>
          <w:szCs w:val="23"/>
        </w:rPr>
        <w:t xml:space="preserve">Specific roles and responsibilities of the SUN Secretariat include the following: </w:t>
      </w:r>
    </w:p>
    <w:p w14:paraId="7ECBADA2" w14:textId="09B07AEF" w:rsidR="006C384F" w:rsidRPr="003126F1" w:rsidRDefault="006C384F" w:rsidP="003126F1">
      <w:pPr>
        <w:pStyle w:val="ListParagraph"/>
        <w:numPr>
          <w:ilvl w:val="0"/>
          <w:numId w:val="11"/>
        </w:numPr>
        <w:autoSpaceDE w:val="0"/>
        <w:autoSpaceDN w:val="0"/>
        <w:adjustRightInd w:val="0"/>
        <w:spacing w:after="0" w:line="241" w:lineRule="atLeast"/>
        <w:jc w:val="both"/>
        <w:rPr>
          <w:rFonts w:ascii="Calibri" w:hAnsi="Calibri" w:cs="Calibri"/>
          <w:sz w:val="26"/>
          <w:szCs w:val="26"/>
        </w:rPr>
      </w:pPr>
      <w:r w:rsidRPr="003126F1">
        <w:rPr>
          <w:rFonts w:ascii="Calibri" w:hAnsi="Calibri" w:cs="Calibri"/>
          <w:b/>
          <w:bCs/>
          <w:sz w:val="26"/>
          <w:szCs w:val="26"/>
        </w:rPr>
        <w:t xml:space="preserve">Support for Coordination Meetings </w:t>
      </w:r>
    </w:p>
    <w:p w14:paraId="66D1224D" w14:textId="79CB1062" w:rsidR="006C384F" w:rsidRPr="006C384F" w:rsidRDefault="006C384F" w:rsidP="006C384F">
      <w:pPr>
        <w:numPr>
          <w:ilvl w:val="0"/>
          <w:numId w:val="3"/>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Prepare, </w:t>
      </w:r>
      <w:r w:rsidR="003126F1" w:rsidRPr="006C384F">
        <w:rPr>
          <w:rFonts w:ascii="Calibri" w:hAnsi="Calibri" w:cs="Calibri"/>
          <w:sz w:val="23"/>
          <w:szCs w:val="23"/>
        </w:rPr>
        <w:t>organize</w:t>
      </w:r>
      <w:r w:rsidR="003126F1">
        <w:rPr>
          <w:rFonts w:ascii="Calibri" w:hAnsi="Calibri" w:cs="Calibri"/>
          <w:sz w:val="23"/>
          <w:szCs w:val="23"/>
        </w:rPr>
        <w:t>,</w:t>
      </w:r>
      <w:r w:rsidRPr="006C384F">
        <w:rPr>
          <w:rFonts w:ascii="Calibri" w:hAnsi="Calibri" w:cs="Calibri"/>
          <w:sz w:val="23"/>
          <w:szCs w:val="23"/>
        </w:rPr>
        <w:t xml:space="preserve"> and take minutes for the steering committee meeting in close liaison with the Chairper</w:t>
      </w:r>
      <w:r w:rsidRPr="006C384F">
        <w:rPr>
          <w:rFonts w:ascii="Calibri" w:hAnsi="Calibri" w:cs="Calibri"/>
          <w:sz w:val="23"/>
          <w:szCs w:val="23"/>
        </w:rPr>
        <w:softHyphen/>
        <w:t xml:space="preserve">son. Agenda items for the steering committee to be proposed by the technical committee </w:t>
      </w:r>
    </w:p>
    <w:p w14:paraId="001DC6F5" w14:textId="77777777" w:rsidR="006C384F" w:rsidRPr="006C384F" w:rsidRDefault="006C384F" w:rsidP="006C384F">
      <w:pPr>
        <w:numPr>
          <w:ilvl w:val="0"/>
          <w:numId w:val="3"/>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Follow-up action points decided during the technical and steering committee meeting to ensure that they are fully implemented </w:t>
      </w:r>
    </w:p>
    <w:p w14:paraId="11665676" w14:textId="77777777" w:rsidR="006C384F" w:rsidRPr="006C384F" w:rsidRDefault="006C384F" w:rsidP="006C384F">
      <w:pPr>
        <w:numPr>
          <w:ilvl w:val="0"/>
          <w:numId w:val="3"/>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Disseminate minutes to all members of the steering and technical committees </w:t>
      </w:r>
    </w:p>
    <w:p w14:paraId="1E0F9BDA" w14:textId="77777777" w:rsidR="006C384F" w:rsidRPr="006C384F" w:rsidRDefault="006C384F" w:rsidP="006C384F">
      <w:pPr>
        <w:numPr>
          <w:ilvl w:val="0"/>
          <w:numId w:val="3"/>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Develop the capacity of districts to establish multi-sectoral coordination mechanisms for nutrition </w:t>
      </w:r>
    </w:p>
    <w:p w14:paraId="57DAB7C4" w14:textId="77777777" w:rsidR="006C384F" w:rsidRPr="006C384F" w:rsidRDefault="006C384F" w:rsidP="006C384F">
      <w:pPr>
        <w:numPr>
          <w:ilvl w:val="0"/>
          <w:numId w:val="3"/>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 xml:space="preserve">Liaise with all SUN Networks to ensure that they fully participate in the Scaling Nutrition actions </w:t>
      </w:r>
    </w:p>
    <w:p w14:paraId="7CC8C7BF" w14:textId="77777777" w:rsidR="006C384F" w:rsidRPr="006C384F" w:rsidRDefault="006C384F" w:rsidP="006C384F">
      <w:pPr>
        <w:autoSpaceDE w:val="0"/>
        <w:autoSpaceDN w:val="0"/>
        <w:adjustRightInd w:val="0"/>
        <w:spacing w:after="0" w:line="240" w:lineRule="auto"/>
        <w:rPr>
          <w:rFonts w:ascii="Calibri" w:hAnsi="Calibri" w:cs="Calibri"/>
          <w:sz w:val="23"/>
          <w:szCs w:val="23"/>
        </w:rPr>
      </w:pPr>
    </w:p>
    <w:p w14:paraId="3DA3D9A8" w14:textId="6992866B" w:rsidR="006C384F" w:rsidRPr="003126F1" w:rsidRDefault="006C384F" w:rsidP="003126F1">
      <w:pPr>
        <w:pStyle w:val="ListParagraph"/>
        <w:numPr>
          <w:ilvl w:val="0"/>
          <w:numId w:val="11"/>
        </w:numPr>
        <w:autoSpaceDE w:val="0"/>
        <w:autoSpaceDN w:val="0"/>
        <w:adjustRightInd w:val="0"/>
        <w:spacing w:after="0" w:line="241" w:lineRule="atLeast"/>
        <w:jc w:val="both"/>
        <w:rPr>
          <w:rFonts w:ascii="Calibri" w:hAnsi="Calibri" w:cs="Calibri"/>
          <w:sz w:val="26"/>
          <w:szCs w:val="26"/>
        </w:rPr>
      </w:pPr>
      <w:r w:rsidRPr="003126F1">
        <w:rPr>
          <w:rFonts w:ascii="Calibri" w:hAnsi="Calibri" w:cs="Calibri"/>
          <w:b/>
          <w:bCs/>
          <w:sz w:val="26"/>
          <w:szCs w:val="26"/>
        </w:rPr>
        <w:t xml:space="preserve">Planning, M&amp;E </w:t>
      </w:r>
    </w:p>
    <w:p w14:paraId="5307D90D" w14:textId="77777777" w:rsidR="00FB7246" w:rsidRPr="00FB7246" w:rsidRDefault="003126F1"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Analyze</w:t>
      </w:r>
      <w:r w:rsidR="006C384F" w:rsidRPr="00FB7246">
        <w:rPr>
          <w:rFonts w:ascii="Calibri" w:hAnsi="Calibri" w:cs="Calibri"/>
          <w:sz w:val="23"/>
          <w:szCs w:val="23"/>
        </w:rPr>
        <w:t xml:space="preserve"> trends and risks and provide cross-sector analytical support for nutrition on a regular basis to</w:t>
      </w:r>
      <w:r w:rsidRPr="00FB7246">
        <w:rPr>
          <w:rFonts w:ascii="Calibri" w:hAnsi="Calibri" w:cs="Calibri"/>
          <w:sz w:val="23"/>
          <w:szCs w:val="23"/>
        </w:rPr>
        <w:t xml:space="preserve"> </w:t>
      </w:r>
      <w:r w:rsidR="006C384F" w:rsidRPr="00FB7246">
        <w:rPr>
          <w:rFonts w:ascii="Calibri" w:hAnsi="Calibri" w:cs="Calibri"/>
          <w:sz w:val="23"/>
          <w:szCs w:val="23"/>
        </w:rPr>
        <w:t>inform policy and programming</w:t>
      </w:r>
      <w:r w:rsidRPr="00FB7246">
        <w:rPr>
          <w:rFonts w:ascii="Calibri" w:hAnsi="Calibri" w:cs="Calibri"/>
          <w:sz w:val="23"/>
          <w:szCs w:val="23"/>
        </w:rPr>
        <w:t>.</w:t>
      </w:r>
      <w:r w:rsidR="006C384F" w:rsidRPr="00FB7246">
        <w:rPr>
          <w:rFonts w:ascii="Calibri" w:hAnsi="Calibri" w:cs="Calibri"/>
          <w:sz w:val="23"/>
          <w:szCs w:val="23"/>
        </w:rPr>
        <w:t xml:space="preserve"> </w:t>
      </w:r>
    </w:p>
    <w:p w14:paraId="08AF7A61" w14:textId="77777777" w:rsidR="00FB7246" w:rsidRP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Conduct mapping exercise to update who is working where and possible gaps that need attention</w:t>
      </w:r>
      <w:r w:rsidR="003126F1" w:rsidRPr="00FB7246">
        <w:rPr>
          <w:rFonts w:ascii="Calibri" w:hAnsi="Calibri" w:cs="Calibri"/>
          <w:sz w:val="23"/>
          <w:szCs w:val="23"/>
        </w:rPr>
        <w:t xml:space="preserve">. </w:t>
      </w:r>
    </w:p>
    <w:p w14:paraId="7095FE54" w14:textId="77777777" w:rsidR="00FB7246" w:rsidRDefault="003126F1"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Organize</w:t>
      </w:r>
      <w:r w:rsidR="006C384F" w:rsidRPr="00FB7246">
        <w:rPr>
          <w:rFonts w:ascii="Calibri" w:hAnsi="Calibri" w:cs="Calibri"/>
          <w:sz w:val="23"/>
          <w:szCs w:val="23"/>
        </w:rPr>
        <w:t xml:space="preserve"> annual review and planning meetings for all sectors and stakeholders to monitor progress against targets and develop new plans</w:t>
      </w:r>
      <w:r w:rsidRPr="00FB7246">
        <w:rPr>
          <w:rFonts w:ascii="Calibri" w:hAnsi="Calibri" w:cs="Calibri"/>
          <w:sz w:val="23"/>
          <w:szCs w:val="23"/>
        </w:rPr>
        <w:t>.</w:t>
      </w:r>
      <w:r w:rsidR="006C384F" w:rsidRPr="00FB7246">
        <w:rPr>
          <w:rFonts w:ascii="Calibri" w:hAnsi="Calibri" w:cs="Calibri"/>
          <w:sz w:val="23"/>
          <w:szCs w:val="23"/>
        </w:rPr>
        <w:t xml:space="preserve"> </w:t>
      </w:r>
    </w:p>
    <w:p w14:paraId="781EB55C"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Regularly track investments and identification of funding gaps for the national nutrition plan</w:t>
      </w:r>
      <w:r w:rsidR="003126F1" w:rsidRPr="00FB7246">
        <w:rPr>
          <w:rFonts w:ascii="Calibri" w:hAnsi="Calibri" w:cs="Calibri"/>
          <w:sz w:val="23"/>
          <w:szCs w:val="23"/>
        </w:rPr>
        <w:t xml:space="preserve">. </w:t>
      </w:r>
    </w:p>
    <w:p w14:paraId="752AE598"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 xml:space="preserve">Support resource </w:t>
      </w:r>
      <w:r w:rsidR="003126F1" w:rsidRPr="00FB7246">
        <w:rPr>
          <w:rFonts w:ascii="Calibri" w:hAnsi="Calibri" w:cs="Calibri"/>
          <w:sz w:val="23"/>
          <w:szCs w:val="23"/>
        </w:rPr>
        <w:t>mobilization</w:t>
      </w:r>
      <w:r w:rsidRPr="00FB7246">
        <w:rPr>
          <w:rFonts w:ascii="Calibri" w:hAnsi="Calibri" w:cs="Calibri"/>
          <w:sz w:val="23"/>
          <w:szCs w:val="23"/>
        </w:rPr>
        <w:t xml:space="preserve"> function for sections of the plan that are not well resourced</w:t>
      </w:r>
      <w:r w:rsidR="00FB7246" w:rsidRPr="00FB7246">
        <w:rPr>
          <w:rFonts w:ascii="Calibri" w:hAnsi="Calibri" w:cs="Calibri"/>
          <w:sz w:val="23"/>
          <w:szCs w:val="23"/>
        </w:rPr>
        <w:t xml:space="preserve">. </w:t>
      </w:r>
    </w:p>
    <w:p w14:paraId="475767BE"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Establish a consolidated M&amp;E database and continuously provide reports to the technical committee and the steering committee</w:t>
      </w:r>
      <w:r w:rsidR="00FB7246" w:rsidRPr="00FB7246">
        <w:rPr>
          <w:rFonts w:ascii="Calibri" w:hAnsi="Calibri" w:cs="Calibri"/>
          <w:sz w:val="23"/>
          <w:szCs w:val="23"/>
        </w:rPr>
        <w:t xml:space="preserve">. </w:t>
      </w:r>
    </w:p>
    <w:p w14:paraId="7FC8304A"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Facilitate sector cooperation and collaboration and improve linkages between core sectors</w:t>
      </w:r>
      <w:r w:rsidR="00FB7246" w:rsidRPr="00FB7246">
        <w:rPr>
          <w:rFonts w:ascii="Calibri" w:hAnsi="Calibri" w:cs="Calibri"/>
          <w:sz w:val="23"/>
          <w:szCs w:val="23"/>
        </w:rPr>
        <w:t>.</w:t>
      </w:r>
    </w:p>
    <w:p w14:paraId="5777E29B"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 xml:space="preserve">Provide support and </w:t>
      </w:r>
      <w:r w:rsidRPr="00FB7246">
        <w:rPr>
          <w:rFonts w:ascii="Calibri" w:hAnsi="Calibri" w:cs="Calibri"/>
          <w:sz w:val="23"/>
          <w:szCs w:val="23"/>
        </w:rPr>
        <w:t>sensitization</w:t>
      </w:r>
      <w:r w:rsidRPr="00FB7246">
        <w:rPr>
          <w:rFonts w:ascii="Calibri" w:hAnsi="Calibri" w:cs="Calibri"/>
          <w:sz w:val="23"/>
          <w:szCs w:val="23"/>
        </w:rPr>
        <w:t xml:space="preserve"> to the sectors to better understand how they contribute to the broader nutrition agenda</w:t>
      </w:r>
      <w:r w:rsidR="00FB7246" w:rsidRPr="00FB7246">
        <w:rPr>
          <w:rFonts w:ascii="Calibri" w:hAnsi="Calibri" w:cs="Calibri"/>
          <w:sz w:val="23"/>
          <w:szCs w:val="23"/>
        </w:rPr>
        <w:t xml:space="preserve">. </w:t>
      </w:r>
    </w:p>
    <w:p w14:paraId="225094C0" w14:textId="77777777" w:rsid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 xml:space="preserve">Provide support to the districts to </w:t>
      </w:r>
      <w:r w:rsidRPr="00FB7246">
        <w:rPr>
          <w:rFonts w:ascii="Calibri" w:hAnsi="Calibri" w:cs="Calibri"/>
          <w:sz w:val="23"/>
          <w:szCs w:val="23"/>
        </w:rPr>
        <w:t>prioritize</w:t>
      </w:r>
      <w:r w:rsidRPr="00FB7246">
        <w:rPr>
          <w:rFonts w:ascii="Calibri" w:hAnsi="Calibri" w:cs="Calibri"/>
          <w:sz w:val="23"/>
          <w:szCs w:val="23"/>
        </w:rPr>
        <w:t xml:space="preserve"> nutrition actions and develop integrated district plans</w:t>
      </w:r>
      <w:r w:rsidR="00FB7246" w:rsidRPr="00FB7246">
        <w:rPr>
          <w:rFonts w:ascii="Calibri" w:hAnsi="Calibri" w:cs="Calibri"/>
          <w:sz w:val="23"/>
          <w:szCs w:val="23"/>
        </w:rPr>
        <w:t xml:space="preserve">. </w:t>
      </w:r>
    </w:p>
    <w:p w14:paraId="7FBB10DB" w14:textId="2D3D436E" w:rsidR="006C384F" w:rsidRPr="00FB7246" w:rsidRDefault="006C384F" w:rsidP="00FB7246">
      <w:pPr>
        <w:pStyle w:val="ListParagraph"/>
        <w:numPr>
          <w:ilvl w:val="0"/>
          <w:numId w:val="13"/>
        </w:numPr>
        <w:autoSpaceDE w:val="0"/>
        <w:autoSpaceDN w:val="0"/>
        <w:adjustRightInd w:val="0"/>
        <w:spacing w:after="0" w:line="240" w:lineRule="auto"/>
        <w:rPr>
          <w:rFonts w:ascii="Calibri" w:hAnsi="Calibri" w:cs="Calibri"/>
          <w:sz w:val="23"/>
          <w:szCs w:val="23"/>
        </w:rPr>
      </w:pPr>
      <w:r w:rsidRPr="00FB7246">
        <w:rPr>
          <w:rFonts w:ascii="Calibri" w:hAnsi="Calibri" w:cs="Calibri"/>
          <w:sz w:val="23"/>
          <w:szCs w:val="23"/>
        </w:rPr>
        <w:t>Coordinate the review of the national nutrition implementation plan at midterm and end term</w:t>
      </w:r>
      <w:r w:rsidR="00FB7246" w:rsidRPr="00FB7246">
        <w:rPr>
          <w:rFonts w:ascii="Calibri" w:hAnsi="Calibri" w:cs="Calibri"/>
          <w:sz w:val="23"/>
          <w:szCs w:val="23"/>
        </w:rPr>
        <w:t>.</w:t>
      </w:r>
      <w:r w:rsidRPr="00FB7246">
        <w:rPr>
          <w:rFonts w:ascii="Calibri" w:hAnsi="Calibri" w:cs="Calibri"/>
          <w:sz w:val="23"/>
          <w:szCs w:val="23"/>
        </w:rPr>
        <w:t xml:space="preserve"> </w:t>
      </w:r>
    </w:p>
    <w:p w14:paraId="46828F7A" w14:textId="77777777" w:rsidR="006C384F" w:rsidRPr="006C384F" w:rsidRDefault="006C384F" w:rsidP="006C384F">
      <w:pPr>
        <w:autoSpaceDE w:val="0"/>
        <w:autoSpaceDN w:val="0"/>
        <w:adjustRightInd w:val="0"/>
        <w:spacing w:after="0" w:line="240" w:lineRule="auto"/>
        <w:rPr>
          <w:rFonts w:ascii="Calibri" w:hAnsi="Calibri" w:cs="Calibri"/>
          <w:sz w:val="23"/>
          <w:szCs w:val="23"/>
        </w:rPr>
      </w:pPr>
    </w:p>
    <w:p w14:paraId="19C72725" w14:textId="77777777" w:rsidR="006C384F" w:rsidRPr="006C384F" w:rsidRDefault="006C384F" w:rsidP="006C384F">
      <w:pPr>
        <w:autoSpaceDE w:val="0"/>
        <w:autoSpaceDN w:val="0"/>
        <w:adjustRightInd w:val="0"/>
        <w:spacing w:after="0" w:line="241" w:lineRule="atLeast"/>
        <w:jc w:val="both"/>
        <w:rPr>
          <w:rFonts w:ascii="Calibri" w:hAnsi="Calibri" w:cs="Calibri"/>
          <w:sz w:val="26"/>
          <w:szCs w:val="26"/>
        </w:rPr>
      </w:pPr>
      <w:r w:rsidRPr="006C384F">
        <w:rPr>
          <w:rFonts w:ascii="Calibri" w:hAnsi="Calibri" w:cs="Calibri"/>
          <w:b/>
          <w:bCs/>
          <w:sz w:val="26"/>
          <w:szCs w:val="26"/>
        </w:rPr>
        <w:t xml:space="preserve">Information Sharing </w:t>
      </w:r>
    </w:p>
    <w:p w14:paraId="4991CC8D" w14:textId="77777777" w:rsidR="00FB7246" w:rsidRDefault="006C384F" w:rsidP="00FB7246">
      <w:pPr>
        <w:pStyle w:val="ListParagraph"/>
        <w:numPr>
          <w:ilvl w:val="0"/>
          <w:numId w:val="13"/>
        </w:numPr>
        <w:autoSpaceDE w:val="0"/>
        <w:autoSpaceDN w:val="0"/>
        <w:adjustRightInd w:val="0"/>
        <w:spacing w:after="0" w:line="240" w:lineRule="auto"/>
        <w:ind w:left="360"/>
        <w:rPr>
          <w:rFonts w:ascii="Calibri" w:hAnsi="Calibri" w:cs="Calibri"/>
          <w:sz w:val="23"/>
          <w:szCs w:val="23"/>
        </w:rPr>
      </w:pPr>
      <w:r w:rsidRPr="006C384F">
        <w:rPr>
          <w:rFonts w:ascii="Calibri" w:hAnsi="Calibri" w:cs="Calibri"/>
          <w:sz w:val="23"/>
          <w:szCs w:val="23"/>
        </w:rPr>
        <w:t>Maintain a database and a mailing list of all key stakeholders for communication purposes</w:t>
      </w:r>
      <w:r w:rsidR="00FB7246">
        <w:rPr>
          <w:rFonts w:ascii="Calibri" w:hAnsi="Calibri" w:cs="Calibri"/>
          <w:sz w:val="23"/>
          <w:szCs w:val="23"/>
        </w:rPr>
        <w:t>.</w:t>
      </w:r>
    </w:p>
    <w:p w14:paraId="065DB4D4" w14:textId="0333080C" w:rsidR="006C384F" w:rsidRPr="006C384F" w:rsidRDefault="006C384F" w:rsidP="00FB7246">
      <w:pPr>
        <w:pStyle w:val="ListParagraph"/>
        <w:numPr>
          <w:ilvl w:val="0"/>
          <w:numId w:val="13"/>
        </w:numPr>
        <w:autoSpaceDE w:val="0"/>
        <w:autoSpaceDN w:val="0"/>
        <w:adjustRightInd w:val="0"/>
        <w:spacing w:after="0" w:line="240" w:lineRule="auto"/>
        <w:ind w:left="360"/>
        <w:rPr>
          <w:rFonts w:ascii="Calibri" w:hAnsi="Calibri" w:cs="Calibri"/>
          <w:sz w:val="23"/>
          <w:szCs w:val="23"/>
        </w:rPr>
      </w:pPr>
      <w:r w:rsidRPr="006C384F">
        <w:rPr>
          <w:rFonts w:ascii="Calibri" w:hAnsi="Calibri" w:cs="Calibri"/>
          <w:sz w:val="23"/>
          <w:szCs w:val="23"/>
        </w:rPr>
        <w:t>Organize</w:t>
      </w:r>
      <w:r w:rsidRPr="006C384F">
        <w:rPr>
          <w:rFonts w:ascii="Calibri" w:hAnsi="Calibri" w:cs="Calibri"/>
          <w:sz w:val="23"/>
          <w:szCs w:val="23"/>
        </w:rPr>
        <w:t xml:space="preserve"> stakeholder events to discuss key issues on nutrition on a need basis</w:t>
      </w:r>
      <w:r w:rsidR="00FB7246">
        <w:rPr>
          <w:rFonts w:ascii="Calibri" w:hAnsi="Calibri" w:cs="Calibri"/>
          <w:sz w:val="23"/>
          <w:szCs w:val="23"/>
        </w:rPr>
        <w:t>.</w:t>
      </w:r>
      <w:r w:rsidRPr="006C384F">
        <w:rPr>
          <w:rFonts w:ascii="Calibri" w:hAnsi="Calibri" w:cs="Calibri"/>
          <w:sz w:val="23"/>
          <w:szCs w:val="23"/>
        </w:rPr>
        <w:t xml:space="preserve"> </w:t>
      </w:r>
    </w:p>
    <w:p w14:paraId="53EEDE10" w14:textId="4E3DBB24" w:rsidR="006C384F" w:rsidRPr="006C384F" w:rsidRDefault="006C384F" w:rsidP="00FB7246">
      <w:pPr>
        <w:pStyle w:val="ListParagraph"/>
        <w:numPr>
          <w:ilvl w:val="0"/>
          <w:numId w:val="13"/>
        </w:numPr>
        <w:autoSpaceDE w:val="0"/>
        <w:autoSpaceDN w:val="0"/>
        <w:adjustRightInd w:val="0"/>
        <w:spacing w:after="0" w:line="240" w:lineRule="auto"/>
        <w:ind w:left="360"/>
        <w:rPr>
          <w:rFonts w:ascii="Calibri" w:hAnsi="Calibri" w:cs="Calibri"/>
          <w:sz w:val="23"/>
          <w:szCs w:val="23"/>
        </w:rPr>
      </w:pPr>
      <w:r w:rsidRPr="006C384F">
        <w:rPr>
          <w:rFonts w:ascii="Calibri" w:hAnsi="Calibri" w:cs="Calibri"/>
          <w:sz w:val="23"/>
          <w:szCs w:val="23"/>
        </w:rPr>
        <w:t>Provide coordination support to all sectors and stakeholders to ensure progress in implementation</w:t>
      </w:r>
      <w:r w:rsidR="00FB7246" w:rsidRPr="00FB7246">
        <w:rPr>
          <w:rFonts w:ascii="Calibri" w:hAnsi="Calibri" w:cs="Calibri"/>
          <w:sz w:val="23"/>
          <w:szCs w:val="23"/>
        </w:rPr>
        <w:t xml:space="preserve"> </w:t>
      </w:r>
      <w:r w:rsidRPr="006C384F">
        <w:rPr>
          <w:rFonts w:ascii="Calibri" w:hAnsi="Calibri" w:cs="Calibri"/>
          <w:sz w:val="23"/>
          <w:szCs w:val="23"/>
        </w:rPr>
        <w:t>of the</w:t>
      </w:r>
      <w:r w:rsidR="00FB7246" w:rsidRPr="00FB7246">
        <w:rPr>
          <w:rFonts w:ascii="Calibri" w:hAnsi="Calibri" w:cs="Calibri"/>
          <w:sz w:val="23"/>
          <w:szCs w:val="23"/>
        </w:rPr>
        <w:t xml:space="preserve"> </w:t>
      </w:r>
      <w:r w:rsidRPr="006C384F">
        <w:rPr>
          <w:rFonts w:ascii="Calibri" w:hAnsi="Calibri" w:cs="Calibri"/>
          <w:sz w:val="23"/>
          <w:szCs w:val="23"/>
        </w:rPr>
        <w:t xml:space="preserve">plan </w:t>
      </w:r>
    </w:p>
    <w:p w14:paraId="0DC9FCBC" w14:textId="5790E55E" w:rsidR="006C384F" w:rsidRPr="006C384F" w:rsidRDefault="006C384F" w:rsidP="00FB7246">
      <w:pPr>
        <w:pStyle w:val="ListParagraph"/>
        <w:numPr>
          <w:ilvl w:val="0"/>
          <w:numId w:val="13"/>
        </w:numPr>
        <w:autoSpaceDE w:val="0"/>
        <w:autoSpaceDN w:val="0"/>
        <w:adjustRightInd w:val="0"/>
        <w:spacing w:after="0" w:line="240" w:lineRule="auto"/>
        <w:ind w:left="360"/>
        <w:rPr>
          <w:rFonts w:ascii="Calibri" w:hAnsi="Calibri" w:cs="Calibri"/>
          <w:sz w:val="23"/>
          <w:szCs w:val="23"/>
        </w:rPr>
      </w:pPr>
      <w:r w:rsidRPr="006C384F">
        <w:rPr>
          <w:rFonts w:ascii="Calibri" w:hAnsi="Calibri" w:cs="Calibri"/>
          <w:sz w:val="23"/>
          <w:szCs w:val="23"/>
        </w:rPr>
        <w:t xml:space="preserve">Establish and </w:t>
      </w:r>
      <w:r w:rsidRPr="006C384F">
        <w:rPr>
          <w:rFonts w:ascii="Calibri" w:hAnsi="Calibri" w:cs="Calibri"/>
          <w:sz w:val="23"/>
          <w:szCs w:val="23"/>
        </w:rPr>
        <w:t>operationalize</w:t>
      </w:r>
      <w:r w:rsidRPr="006C384F">
        <w:rPr>
          <w:rFonts w:ascii="Calibri" w:hAnsi="Calibri" w:cs="Calibri"/>
          <w:sz w:val="23"/>
          <w:szCs w:val="23"/>
        </w:rPr>
        <w:t xml:space="preserve"> an information sharing platform to ensure that all partners are fully</w:t>
      </w:r>
      <w:r w:rsidR="00FB7246">
        <w:rPr>
          <w:rFonts w:ascii="Calibri" w:hAnsi="Calibri" w:cs="Calibri"/>
          <w:sz w:val="23"/>
          <w:szCs w:val="23"/>
        </w:rPr>
        <w:t xml:space="preserve"> </w:t>
      </w:r>
      <w:r w:rsidRPr="006C384F">
        <w:rPr>
          <w:rFonts w:ascii="Calibri" w:hAnsi="Calibri" w:cs="Calibri"/>
          <w:sz w:val="23"/>
          <w:szCs w:val="23"/>
        </w:rPr>
        <w:t xml:space="preserve">engaged </w:t>
      </w:r>
    </w:p>
    <w:p w14:paraId="18F16183" w14:textId="77777777" w:rsidR="006C384F" w:rsidRPr="006C384F" w:rsidRDefault="006C384F" w:rsidP="00FB7246">
      <w:pPr>
        <w:autoSpaceDE w:val="0"/>
        <w:autoSpaceDN w:val="0"/>
        <w:adjustRightInd w:val="0"/>
        <w:spacing w:after="0" w:line="240" w:lineRule="auto"/>
        <w:rPr>
          <w:rFonts w:ascii="Calibri" w:hAnsi="Calibri" w:cs="Calibri"/>
          <w:sz w:val="23"/>
          <w:szCs w:val="23"/>
        </w:rPr>
      </w:pPr>
    </w:p>
    <w:p w14:paraId="42EBDC96" w14:textId="6D7A4D37" w:rsidR="006C384F" w:rsidRDefault="006C384F" w:rsidP="006C384F">
      <w:pPr>
        <w:autoSpaceDE w:val="0"/>
        <w:autoSpaceDN w:val="0"/>
        <w:adjustRightInd w:val="0"/>
        <w:spacing w:after="0" w:line="240" w:lineRule="auto"/>
        <w:rPr>
          <w:rFonts w:ascii="Calibri" w:hAnsi="Calibri" w:cs="Calibri"/>
          <w:sz w:val="23"/>
          <w:szCs w:val="23"/>
        </w:rPr>
      </w:pPr>
    </w:p>
    <w:p w14:paraId="07F1384F" w14:textId="4C09F5F5" w:rsidR="006C384F" w:rsidRDefault="006C384F" w:rsidP="006C384F">
      <w:pPr>
        <w:autoSpaceDE w:val="0"/>
        <w:autoSpaceDN w:val="0"/>
        <w:adjustRightInd w:val="0"/>
        <w:spacing w:after="0" w:line="240" w:lineRule="auto"/>
        <w:rPr>
          <w:rFonts w:ascii="Calibri" w:hAnsi="Calibri" w:cs="Calibri"/>
          <w:sz w:val="23"/>
          <w:szCs w:val="23"/>
        </w:rPr>
      </w:pPr>
    </w:p>
    <w:p w14:paraId="352D87E1" w14:textId="07BA3CB7" w:rsidR="006C384F" w:rsidRPr="006C384F" w:rsidRDefault="006C384F" w:rsidP="006C384F">
      <w:pPr>
        <w:autoSpaceDE w:val="0"/>
        <w:autoSpaceDN w:val="0"/>
        <w:adjustRightInd w:val="0"/>
        <w:spacing w:after="0" w:line="240" w:lineRule="auto"/>
        <w:rPr>
          <w:rFonts w:ascii="Calibri" w:hAnsi="Calibri" w:cs="Calibri"/>
          <w:sz w:val="23"/>
          <w:szCs w:val="23"/>
        </w:rPr>
      </w:pPr>
      <w:r w:rsidRPr="006C384F">
        <w:rPr>
          <w:rFonts w:ascii="Calibri" w:hAnsi="Calibri" w:cs="Calibri"/>
          <w:noProof/>
          <w:sz w:val="23"/>
          <w:szCs w:val="23"/>
        </w:rPr>
        <w:lastRenderedPageBreak/>
        <w:drawing>
          <wp:inline distT="0" distB="0" distL="0" distR="0" wp14:anchorId="186429DB" wp14:editId="54AA7F2A">
            <wp:extent cx="6416675" cy="34626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6675" cy="3462655"/>
                    </a:xfrm>
                    <a:prstGeom prst="rect">
                      <a:avLst/>
                    </a:prstGeom>
                    <a:noFill/>
                    <a:ln>
                      <a:noFill/>
                    </a:ln>
                  </pic:spPr>
                </pic:pic>
              </a:graphicData>
            </a:graphic>
          </wp:inline>
        </w:drawing>
      </w:r>
    </w:p>
    <w:p w14:paraId="3C03D554" w14:textId="0EB7C315" w:rsidR="006C384F" w:rsidRDefault="006C384F" w:rsidP="006C384F">
      <w:pPr>
        <w:pStyle w:val="Default"/>
        <w:numPr>
          <w:ilvl w:val="0"/>
          <w:numId w:val="1"/>
        </w:numPr>
        <w:rPr>
          <w:color w:val="auto"/>
          <w:sz w:val="23"/>
          <w:szCs w:val="23"/>
        </w:rPr>
      </w:pPr>
    </w:p>
    <w:p w14:paraId="267108AD" w14:textId="77777777" w:rsidR="00FB7246" w:rsidRDefault="00FB7246" w:rsidP="00FB7246">
      <w:pPr>
        <w:pStyle w:val="Default"/>
        <w:numPr>
          <w:ilvl w:val="0"/>
          <w:numId w:val="1"/>
        </w:numPr>
      </w:pPr>
    </w:p>
    <w:p w14:paraId="1C96A7F6" w14:textId="77777777" w:rsidR="00FB7246" w:rsidRPr="006C384F" w:rsidRDefault="00FB7246" w:rsidP="00FB7246">
      <w:pPr>
        <w:autoSpaceDE w:val="0"/>
        <w:autoSpaceDN w:val="0"/>
        <w:adjustRightInd w:val="0"/>
        <w:spacing w:after="0" w:line="241" w:lineRule="atLeast"/>
        <w:jc w:val="both"/>
        <w:rPr>
          <w:rFonts w:ascii="Calibri" w:hAnsi="Calibri" w:cs="Calibri"/>
          <w:sz w:val="26"/>
          <w:szCs w:val="26"/>
        </w:rPr>
      </w:pPr>
      <w:r w:rsidRPr="006C384F">
        <w:rPr>
          <w:rFonts w:ascii="Calibri" w:hAnsi="Calibri" w:cs="Calibri"/>
          <w:b/>
          <w:bCs/>
          <w:sz w:val="26"/>
          <w:szCs w:val="26"/>
        </w:rPr>
        <w:t xml:space="preserve">Advocacy </w:t>
      </w:r>
    </w:p>
    <w:p w14:paraId="5AB647E8" w14:textId="518899DD" w:rsidR="00FB7246" w:rsidRPr="006C384F" w:rsidRDefault="00FB7246" w:rsidP="00A32D72">
      <w:pPr>
        <w:numPr>
          <w:ilvl w:val="0"/>
          <w:numId w:val="15"/>
        </w:numPr>
        <w:autoSpaceDE w:val="0"/>
        <w:autoSpaceDN w:val="0"/>
        <w:adjustRightInd w:val="0"/>
        <w:spacing w:after="0" w:line="240" w:lineRule="auto"/>
        <w:rPr>
          <w:rFonts w:ascii="Calibri" w:hAnsi="Calibri" w:cs="Calibri"/>
          <w:sz w:val="23"/>
          <w:szCs w:val="23"/>
        </w:rPr>
      </w:pPr>
      <w:r w:rsidRPr="006C384F">
        <w:rPr>
          <w:rFonts w:ascii="Calibri" w:hAnsi="Calibri" w:cs="Calibri"/>
          <w:sz w:val="23"/>
          <w:szCs w:val="23"/>
        </w:rPr>
        <w:t>Coordinate and lead advocacy events for issues requiring joint advocacy</w:t>
      </w:r>
      <w:r>
        <w:rPr>
          <w:rFonts w:ascii="Calibri" w:hAnsi="Calibri" w:cs="Calibri"/>
          <w:sz w:val="23"/>
          <w:szCs w:val="23"/>
        </w:rPr>
        <w:t>.</w:t>
      </w:r>
    </w:p>
    <w:p w14:paraId="4E745F38" w14:textId="3FC6BF4C" w:rsidR="00FB7246" w:rsidRDefault="00FB7246" w:rsidP="00A32D72">
      <w:pPr>
        <w:pStyle w:val="Default"/>
        <w:numPr>
          <w:ilvl w:val="0"/>
          <w:numId w:val="15"/>
        </w:numPr>
        <w:rPr>
          <w:color w:val="auto"/>
          <w:sz w:val="23"/>
          <w:szCs w:val="23"/>
        </w:rPr>
      </w:pPr>
      <w:r>
        <w:rPr>
          <w:color w:val="auto"/>
          <w:sz w:val="23"/>
          <w:szCs w:val="23"/>
        </w:rPr>
        <w:t>Coordinate the development and implementation of an advocacy strategy for the national implementa</w:t>
      </w:r>
      <w:r>
        <w:rPr>
          <w:color w:val="auto"/>
          <w:sz w:val="23"/>
          <w:szCs w:val="23"/>
        </w:rPr>
        <w:softHyphen/>
        <w:t>tion plan</w:t>
      </w:r>
      <w:r w:rsidR="00A32D72">
        <w:rPr>
          <w:color w:val="auto"/>
          <w:sz w:val="23"/>
          <w:szCs w:val="23"/>
        </w:rPr>
        <w:t>.</w:t>
      </w:r>
      <w:r>
        <w:rPr>
          <w:color w:val="auto"/>
          <w:sz w:val="23"/>
          <w:szCs w:val="23"/>
        </w:rPr>
        <w:t xml:space="preserve"> </w:t>
      </w:r>
    </w:p>
    <w:p w14:paraId="3C2C1B1A" w14:textId="77777777" w:rsidR="00A32D72" w:rsidRDefault="00FB7246" w:rsidP="00A32D72">
      <w:pPr>
        <w:pStyle w:val="Default"/>
        <w:numPr>
          <w:ilvl w:val="0"/>
          <w:numId w:val="15"/>
        </w:numPr>
        <w:rPr>
          <w:color w:val="auto"/>
          <w:sz w:val="23"/>
          <w:szCs w:val="23"/>
        </w:rPr>
      </w:pPr>
      <w:r>
        <w:rPr>
          <w:color w:val="auto"/>
          <w:sz w:val="23"/>
          <w:szCs w:val="23"/>
        </w:rPr>
        <w:t>Prepare and support nutrition champions to advocate for nutrition by providing materials and other rel</w:t>
      </w:r>
      <w:r>
        <w:rPr>
          <w:color w:val="auto"/>
          <w:sz w:val="23"/>
          <w:szCs w:val="23"/>
        </w:rPr>
        <w:softHyphen/>
        <w:t>evant information</w:t>
      </w:r>
      <w:r w:rsidR="00A32D72">
        <w:rPr>
          <w:color w:val="auto"/>
          <w:sz w:val="23"/>
          <w:szCs w:val="23"/>
        </w:rPr>
        <w:t>.</w:t>
      </w:r>
    </w:p>
    <w:p w14:paraId="6175C813" w14:textId="46A5ACBD" w:rsidR="00FB7246" w:rsidRDefault="00FB7246" w:rsidP="00FB7246">
      <w:pPr>
        <w:pStyle w:val="Default"/>
        <w:numPr>
          <w:ilvl w:val="0"/>
          <w:numId w:val="1"/>
        </w:numPr>
        <w:rPr>
          <w:color w:val="auto"/>
          <w:sz w:val="23"/>
          <w:szCs w:val="23"/>
        </w:rPr>
      </w:pPr>
      <w:r>
        <w:rPr>
          <w:color w:val="auto"/>
          <w:sz w:val="23"/>
          <w:szCs w:val="23"/>
        </w:rPr>
        <w:t xml:space="preserve"> </w:t>
      </w:r>
    </w:p>
    <w:p w14:paraId="0187AB33" w14:textId="77777777" w:rsidR="00A32D72" w:rsidRDefault="00A32D72" w:rsidP="00A32D72">
      <w:pPr>
        <w:pStyle w:val="Default"/>
      </w:pPr>
    </w:p>
    <w:p w14:paraId="4CBF676B" w14:textId="77777777" w:rsidR="00A32D72" w:rsidRDefault="00A32D72" w:rsidP="00A32D72">
      <w:pPr>
        <w:pStyle w:val="Pa2"/>
        <w:jc w:val="both"/>
        <w:rPr>
          <w:sz w:val="26"/>
          <w:szCs w:val="26"/>
        </w:rPr>
      </w:pPr>
      <w:r>
        <w:rPr>
          <w:rStyle w:val="A13"/>
          <w:color w:val="auto"/>
        </w:rPr>
        <w:t xml:space="preserve">District level coordination mechanisms: </w:t>
      </w:r>
    </w:p>
    <w:p w14:paraId="65EF64EE" w14:textId="77777777" w:rsidR="00A32D72" w:rsidRDefault="00A32D72" w:rsidP="00A32D72">
      <w:pPr>
        <w:pStyle w:val="Pa2"/>
        <w:jc w:val="both"/>
        <w:rPr>
          <w:sz w:val="23"/>
          <w:szCs w:val="23"/>
        </w:rPr>
      </w:pPr>
      <w:r>
        <w:rPr>
          <w:sz w:val="23"/>
          <w:szCs w:val="23"/>
        </w:rPr>
        <w:t>Provisions of social services in Sierra Leone have been decentralized to the District Councils. The Councils in collaboration with the Technical Ministries and the communities design, plan, implement, monitor and su</w:t>
      </w:r>
      <w:r>
        <w:rPr>
          <w:sz w:val="23"/>
          <w:szCs w:val="23"/>
        </w:rPr>
        <w:softHyphen/>
        <w:t xml:space="preserve">pervise development activities at the district level. One of the mandates of the District Council is the overall coordination of all development activities in the district. Each District Council is consistently working towards the development of a single integrated development plan. Through the mainstreaming of the right to food at all levels, the capacity of local councils to plan and integrate food and nutrition security into the district development plans will be enhanced. The district councils will establish a </w:t>
      </w:r>
      <w:r>
        <w:rPr>
          <w:rStyle w:val="A14"/>
          <w:color w:val="auto"/>
          <w:sz w:val="23"/>
          <w:szCs w:val="23"/>
        </w:rPr>
        <w:t xml:space="preserve">District Food and Nutrition Security Coordination Committee </w:t>
      </w:r>
      <w:r>
        <w:rPr>
          <w:sz w:val="23"/>
          <w:szCs w:val="23"/>
        </w:rPr>
        <w:t>composed of representatives of departments in the relevant sectors, civil society organizations, NGOs, private sector, and other relevant institutions at the district level. The Committee will be chaired by the Chief Administrator and will meet once every quarter and will link and report to the Na</w:t>
      </w:r>
      <w:r>
        <w:rPr>
          <w:sz w:val="23"/>
          <w:szCs w:val="23"/>
        </w:rPr>
        <w:softHyphen/>
        <w:t xml:space="preserve">tional Food and Nutrition Security Technical Committee. </w:t>
      </w:r>
    </w:p>
    <w:p w14:paraId="43034D92" w14:textId="77777777" w:rsidR="00A32D72" w:rsidRDefault="00A32D72" w:rsidP="00A32D72">
      <w:pPr>
        <w:pStyle w:val="Pa2"/>
        <w:jc w:val="both"/>
        <w:rPr>
          <w:rStyle w:val="A13"/>
          <w:i w:val="0"/>
          <w:iCs w:val="0"/>
          <w:color w:val="auto"/>
        </w:rPr>
      </w:pPr>
    </w:p>
    <w:p w14:paraId="2BFFEF3B" w14:textId="56242098" w:rsidR="00A32D72" w:rsidRDefault="00A32D72" w:rsidP="00A32D72">
      <w:pPr>
        <w:pStyle w:val="Pa2"/>
        <w:jc w:val="both"/>
        <w:rPr>
          <w:sz w:val="26"/>
          <w:szCs w:val="26"/>
        </w:rPr>
      </w:pPr>
      <w:r>
        <w:rPr>
          <w:rStyle w:val="A13"/>
          <w:i w:val="0"/>
          <w:iCs w:val="0"/>
          <w:color w:val="auto"/>
        </w:rPr>
        <w:t xml:space="preserve">Roles and Responsibilities </w:t>
      </w:r>
    </w:p>
    <w:p w14:paraId="14896C13" w14:textId="5134155B" w:rsidR="00A32D72" w:rsidRDefault="00A32D72" w:rsidP="00A32D72">
      <w:pPr>
        <w:pStyle w:val="Pa2"/>
        <w:jc w:val="both"/>
        <w:rPr>
          <w:sz w:val="23"/>
          <w:szCs w:val="23"/>
        </w:rPr>
      </w:pPr>
      <w:r>
        <w:rPr>
          <w:sz w:val="23"/>
          <w:szCs w:val="23"/>
        </w:rPr>
        <w:t>Specifically</w:t>
      </w:r>
      <w:r>
        <w:rPr>
          <w:sz w:val="23"/>
          <w:szCs w:val="23"/>
        </w:rPr>
        <w:t>,</w:t>
      </w:r>
      <w:r>
        <w:rPr>
          <w:sz w:val="23"/>
          <w:szCs w:val="23"/>
        </w:rPr>
        <w:t xml:space="preserve"> the roles of the Committee will be as follows: </w:t>
      </w:r>
    </w:p>
    <w:p w14:paraId="7703CCDF" w14:textId="77777777" w:rsidR="00A32D72" w:rsidRDefault="00A32D72" w:rsidP="00A32D72">
      <w:pPr>
        <w:pStyle w:val="Default"/>
        <w:numPr>
          <w:ilvl w:val="0"/>
          <w:numId w:val="1"/>
        </w:numPr>
        <w:rPr>
          <w:color w:val="auto"/>
          <w:sz w:val="23"/>
          <w:szCs w:val="23"/>
        </w:rPr>
      </w:pPr>
      <w:r>
        <w:rPr>
          <w:color w:val="auto"/>
          <w:sz w:val="23"/>
          <w:szCs w:val="23"/>
        </w:rPr>
        <w:t xml:space="preserve">Ensure that food and nutrition security considerations are fully integrated in the district development plans </w:t>
      </w:r>
    </w:p>
    <w:p w14:paraId="67D77B26" w14:textId="77777777" w:rsidR="00A32D72" w:rsidRDefault="00A32D72" w:rsidP="00A32D72">
      <w:pPr>
        <w:pStyle w:val="Default"/>
        <w:numPr>
          <w:ilvl w:val="0"/>
          <w:numId w:val="1"/>
        </w:numPr>
        <w:rPr>
          <w:color w:val="auto"/>
          <w:sz w:val="23"/>
          <w:szCs w:val="23"/>
        </w:rPr>
      </w:pPr>
      <w:r>
        <w:rPr>
          <w:color w:val="auto"/>
          <w:sz w:val="23"/>
          <w:szCs w:val="23"/>
        </w:rPr>
        <w:t xml:space="preserve">Assist the various sectors to generate resources for their interventions </w:t>
      </w:r>
    </w:p>
    <w:p w14:paraId="509C4F9F" w14:textId="77777777" w:rsidR="00A32D72" w:rsidRDefault="00A32D72" w:rsidP="00A32D72">
      <w:pPr>
        <w:pStyle w:val="Default"/>
        <w:numPr>
          <w:ilvl w:val="0"/>
          <w:numId w:val="1"/>
        </w:numPr>
        <w:rPr>
          <w:color w:val="auto"/>
          <w:sz w:val="23"/>
          <w:szCs w:val="23"/>
        </w:rPr>
      </w:pPr>
      <w:r>
        <w:rPr>
          <w:color w:val="auto"/>
          <w:sz w:val="23"/>
          <w:szCs w:val="23"/>
        </w:rPr>
        <w:t xml:space="preserve">Ensure that every stakeholder generates the requisite data vital for informed coordination and decision making </w:t>
      </w:r>
    </w:p>
    <w:p w14:paraId="17A77968" w14:textId="77777777" w:rsidR="00A32D72" w:rsidRDefault="00A32D72" w:rsidP="00A32D72">
      <w:pPr>
        <w:pStyle w:val="Default"/>
        <w:numPr>
          <w:ilvl w:val="0"/>
          <w:numId w:val="1"/>
        </w:numPr>
        <w:rPr>
          <w:color w:val="auto"/>
          <w:sz w:val="23"/>
          <w:szCs w:val="23"/>
        </w:rPr>
      </w:pPr>
      <w:r>
        <w:rPr>
          <w:color w:val="auto"/>
          <w:sz w:val="23"/>
          <w:szCs w:val="23"/>
        </w:rPr>
        <w:t>Support assessments, reviews, monitoring and supervision of food security and nutrition security inter</w:t>
      </w:r>
      <w:r>
        <w:rPr>
          <w:color w:val="auto"/>
          <w:sz w:val="23"/>
          <w:szCs w:val="23"/>
        </w:rPr>
        <w:softHyphen/>
        <w:t xml:space="preserve">ventions </w:t>
      </w:r>
    </w:p>
    <w:p w14:paraId="0EE93AD0" w14:textId="77777777" w:rsidR="00A32D72" w:rsidRDefault="00A32D72" w:rsidP="00A32D72">
      <w:pPr>
        <w:pStyle w:val="Default"/>
        <w:numPr>
          <w:ilvl w:val="0"/>
          <w:numId w:val="1"/>
        </w:numPr>
        <w:rPr>
          <w:color w:val="auto"/>
          <w:sz w:val="23"/>
          <w:szCs w:val="23"/>
        </w:rPr>
      </w:pPr>
      <w:r>
        <w:rPr>
          <w:color w:val="auto"/>
          <w:sz w:val="23"/>
          <w:szCs w:val="23"/>
        </w:rPr>
        <w:t xml:space="preserve">Ensure that district and sector plans are implemented as planned </w:t>
      </w:r>
    </w:p>
    <w:p w14:paraId="24820199" w14:textId="77777777" w:rsidR="00A32D72" w:rsidRDefault="00A32D72" w:rsidP="00A32D72">
      <w:pPr>
        <w:pStyle w:val="Default"/>
        <w:numPr>
          <w:ilvl w:val="0"/>
          <w:numId w:val="1"/>
        </w:numPr>
        <w:rPr>
          <w:color w:val="auto"/>
          <w:sz w:val="23"/>
          <w:szCs w:val="23"/>
        </w:rPr>
      </w:pPr>
      <w:r>
        <w:rPr>
          <w:color w:val="auto"/>
          <w:sz w:val="23"/>
          <w:szCs w:val="23"/>
        </w:rPr>
        <w:t xml:space="preserve">Coordinate actions at the community levels providing technical support, guidelines, </w:t>
      </w:r>
      <w:proofErr w:type="gramStart"/>
      <w:r>
        <w:rPr>
          <w:color w:val="auto"/>
          <w:sz w:val="23"/>
          <w:szCs w:val="23"/>
        </w:rPr>
        <w:t>supervision</w:t>
      </w:r>
      <w:proofErr w:type="gramEnd"/>
      <w:r>
        <w:rPr>
          <w:color w:val="auto"/>
          <w:sz w:val="23"/>
          <w:szCs w:val="23"/>
        </w:rPr>
        <w:t xml:space="preserve"> and feedback </w:t>
      </w:r>
    </w:p>
    <w:p w14:paraId="2A0E9990" w14:textId="77777777" w:rsidR="00A32D72" w:rsidRDefault="00A32D72" w:rsidP="00A32D72">
      <w:pPr>
        <w:pStyle w:val="Pa2"/>
        <w:jc w:val="both"/>
        <w:rPr>
          <w:sz w:val="26"/>
          <w:szCs w:val="26"/>
        </w:rPr>
      </w:pPr>
      <w:r>
        <w:rPr>
          <w:rStyle w:val="A13"/>
          <w:color w:val="auto"/>
        </w:rPr>
        <w:lastRenderedPageBreak/>
        <w:t xml:space="preserve">District Sectorial Coordination Committees: </w:t>
      </w:r>
    </w:p>
    <w:p w14:paraId="5CE0983D" w14:textId="0D25FD9C" w:rsidR="00A32D72" w:rsidRDefault="00A32D72" w:rsidP="00A32D72">
      <w:pPr>
        <w:pStyle w:val="Default"/>
        <w:numPr>
          <w:ilvl w:val="0"/>
          <w:numId w:val="1"/>
        </w:numPr>
        <w:rPr>
          <w:color w:val="auto"/>
          <w:sz w:val="23"/>
          <w:szCs w:val="23"/>
        </w:rPr>
      </w:pPr>
      <w:r>
        <w:rPr>
          <w:sz w:val="23"/>
          <w:szCs w:val="23"/>
        </w:rPr>
        <w:t>Some government ministries have well established technical coordination mechanisms at the district level. These are the District Health Management Teams (DHMTs) and the District Agriculture Committees (DAC). They meet every month to plan, monitor progress of implementation and address challenges encountered. The sectoral committees also interpret and execute policies to all stakeholders so that they can align their in</w:t>
      </w:r>
      <w:r>
        <w:rPr>
          <w:sz w:val="23"/>
          <w:szCs w:val="23"/>
        </w:rPr>
        <w:softHyphen/>
        <w:t>terventions accordingly. Members of these sector committees comprise of key departments, NGOs, relevant civil society groups and private sector entities providing services within the mandate of the Sector. The sector coordination committees will be strengthened for the smooth implementation of this plan and to provide technical support to the District Food and Nutrition Security coordination committee.</w:t>
      </w:r>
    </w:p>
    <w:p w14:paraId="3631A673" w14:textId="70C3B885" w:rsidR="002D6E2F" w:rsidRDefault="002D6E2F"/>
    <w:p w14:paraId="1F8AC865" w14:textId="46FA4481" w:rsidR="00A32D72" w:rsidRDefault="00A32D72">
      <w:r w:rsidRPr="00A32D72">
        <w:rPr>
          <w:noProof/>
        </w:rPr>
        <w:drawing>
          <wp:inline distT="0" distB="0" distL="0" distR="0" wp14:anchorId="6754EC81" wp14:editId="03AE3382">
            <wp:extent cx="4560570" cy="341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0570" cy="3418840"/>
                    </a:xfrm>
                    <a:prstGeom prst="rect">
                      <a:avLst/>
                    </a:prstGeom>
                    <a:noFill/>
                    <a:ln>
                      <a:noFill/>
                    </a:ln>
                  </pic:spPr>
                </pic:pic>
              </a:graphicData>
            </a:graphic>
          </wp:inline>
        </w:drawing>
      </w:r>
    </w:p>
    <w:p w14:paraId="3AB07A3C" w14:textId="77777777" w:rsidR="00A32D72" w:rsidRDefault="00A32D72" w:rsidP="00A32D72">
      <w:pPr>
        <w:pStyle w:val="Default"/>
      </w:pPr>
    </w:p>
    <w:p w14:paraId="1F4E1DBA" w14:textId="77777777" w:rsidR="00A32D72" w:rsidRDefault="00A32D72" w:rsidP="00A32D72">
      <w:pPr>
        <w:pStyle w:val="Pa2"/>
        <w:jc w:val="both"/>
        <w:rPr>
          <w:sz w:val="26"/>
          <w:szCs w:val="26"/>
        </w:rPr>
      </w:pPr>
      <w:r>
        <w:rPr>
          <w:rStyle w:val="A13"/>
          <w:color w:val="auto"/>
        </w:rPr>
        <w:t xml:space="preserve">Community level coordination: </w:t>
      </w:r>
    </w:p>
    <w:p w14:paraId="0A22EDDF" w14:textId="5DF7219A" w:rsidR="00A32D72" w:rsidRDefault="00A32D72" w:rsidP="00A32D72">
      <w:pPr>
        <w:rPr>
          <w:sz w:val="23"/>
          <w:szCs w:val="23"/>
        </w:rPr>
      </w:pPr>
      <w:r>
        <w:rPr>
          <w:sz w:val="23"/>
          <w:szCs w:val="23"/>
        </w:rPr>
        <w:t xml:space="preserve">The participation of the community is critical in the implementation of this action plan. Through the right to food initiative, the community will be </w:t>
      </w:r>
      <w:r>
        <w:rPr>
          <w:sz w:val="23"/>
          <w:szCs w:val="23"/>
        </w:rPr>
        <w:t>sensitized</w:t>
      </w:r>
      <w:r>
        <w:rPr>
          <w:sz w:val="23"/>
          <w:szCs w:val="23"/>
        </w:rPr>
        <w:t xml:space="preserve"> to enhance their participation in claiming their rights and holding the duty bearers to account on the implementation of the plans. Community level coordination com</w:t>
      </w:r>
      <w:r>
        <w:rPr>
          <w:sz w:val="23"/>
          <w:szCs w:val="23"/>
        </w:rPr>
        <w:softHyphen/>
        <w:t>mittees are composed of the Ward Committees, Chiefdom Development Committees</w:t>
      </w:r>
      <w:r>
        <w:rPr>
          <w:sz w:val="23"/>
          <w:szCs w:val="23"/>
        </w:rPr>
        <w:t>,</w:t>
      </w:r>
      <w:r>
        <w:rPr>
          <w:sz w:val="23"/>
          <w:szCs w:val="23"/>
        </w:rPr>
        <w:t xml:space="preserve"> and the Village Devel</w:t>
      </w:r>
      <w:r>
        <w:rPr>
          <w:sz w:val="23"/>
          <w:szCs w:val="23"/>
        </w:rPr>
        <w:softHyphen/>
        <w:t xml:space="preserve">opment Committees. While some of these committees function well in some districts, they are dormant in others. The functional committees will be used as entry points to coordinate food and nutrition interventions at the community level and enhance information flow to and from the district. The functions of the different governance systems are as indicated in </w:t>
      </w:r>
      <w:r>
        <w:rPr>
          <w:sz w:val="23"/>
          <w:szCs w:val="23"/>
        </w:rPr>
        <w:t>t</w:t>
      </w:r>
      <w:r>
        <w:rPr>
          <w:sz w:val="23"/>
          <w:szCs w:val="23"/>
        </w:rPr>
        <w:t>able</w:t>
      </w:r>
      <w:r>
        <w:rPr>
          <w:sz w:val="23"/>
          <w:szCs w:val="23"/>
        </w:rPr>
        <w:t xml:space="preserve"> below.</w:t>
      </w:r>
    </w:p>
    <w:p w14:paraId="0090E818" w14:textId="77777777" w:rsidR="00D64107" w:rsidRDefault="00D64107" w:rsidP="00D64107">
      <w:pPr>
        <w:pStyle w:val="Default"/>
      </w:pPr>
    </w:p>
    <w:p w14:paraId="6CD0EBFB" w14:textId="52249C83" w:rsidR="00D64107" w:rsidRPr="00D64107" w:rsidRDefault="00D64107" w:rsidP="00D64107">
      <w:pPr>
        <w:rPr>
          <w:b/>
          <w:bCs/>
          <w:sz w:val="23"/>
          <w:szCs w:val="23"/>
        </w:rPr>
      </w:pPr>
      <w:r w:rsidRPr="00D64107">
        <w:rPr>
          <w:b/>
          <w:bCs/>
          <w:i/>
          <w:iCs/>
          <w:sz w:val="23"/>
          <w:szCs w:val="23"/>
        </w:rPr>
        <w:t>Governance structures at the community level</w:t>
      </w:r>
    </w:p>
    <w:tbl>
      <w:tblPr>
        <w:tblStyle w:val="TableGrid"/>
        <w:tblW w:w="0" w:type="auto"/>
        <w:tblLook w:val="04A0" w:firstRow="1" w:lastRow="0" w:firstColumn="1" w:lastColumn="0" w:noHBand="0" w:noVBand="1"/>
      </w:tblPr>
      <w:tblGrid>
        <w:gridCol w:w="2523"/>
        <w:gridCol w:w="2524"/>
        <w:gridCol w:w="2524"/>
        <w:gridCol w:w="2524"/>
      </w:tblGrid>
      <w:tr w:rsidR="00A32D72" w14:paraId="5C101D4C" w14:textId="77777777" w:rsidTr="00A32D72">
        <w:tc>
          <w:tcPr>
            <w:tcW w:w="2523" w:type="dxa"/>
          </w:tcPr>
          <w:p w14:paraId="6AB7F320" w14:textId="46D74553" w:rsidR="00A32D72" w:rsidRPr="00A32D72" w:rsidRDefault="00A32D72" w:rsidP="00D64107">
            <w:pPr>
              <w:autoSpaceDE w:val="0"/>
              <w:autoSpaceDN w:val="0"/>
              <w:adjustRightInd w:val="0"/>
              <w:spacing w:line="241" w:lineRule="atLeast"/>
              <w:jc w:val="center"/>
              <w:rPr>
                <w:rFonts w:ascii="TeXGyreAdventor" w:hAnsi="TeXGyreAdventor" w:cs="TeXGyreAdventor"/>
                <w:b/>
                <w:bCs/>
                <w:color w:val="000000"/>
                <w:sz w:val="23"/>
                <w:szCs w:val="23"/>
              </w:rPr>
            </w:pPr>
            <w:r w:rsidRPr="00A32D72">
              <w:rPr>
                <w:rFonts w:ascii="TeXGyreAdventor" w:hAnsi="TeXGyreAdventor" w:cs="TeXGyreAdventor"/>
                <w:b/>
                <w:bCs/>
                <w:color w:val="000000"/>
                <w:sz w:val="23"/>
                <w:szCs w:val="23"/>
              </w:rPr>
              <w:t>Unit</w:t>
            </w:r>
          </w:p>
        </w:tc>
        <w:tc>
          <w:tcPr>
            <w:tcW w:w="2524" w:type="dxa"/>
          </w:tcPr>
          <w:p w14:paraId="2DF6F695" w14:textId="451EB66A" w:rsidR="00A32D72" w:rsidRPr="00A32D72" w:rsidRDefault="00A32D72" w:rsidP="00D64107">
            <w:pPr>
              <w:autoSpaceDE w:val="0"/>
              <w:autoSpaceDN w:val="0"/>
              <w:adjustRightInd w:val="0"/>
              <w:spacing w:line="241" w:lineRule="atLeast"/>
              <w:jc w:val="center"/>
              <w:rPr>
                <w:rFonts w:ascii="TeXGyreAdventor" w:hAnsi="TeXGyreAdventor" w:cs="TeXGyreAdventor"/>
                <w:b/>
                <w:bCs/>
                <w:color w:val="000000"/>
                <w:sz w:val="23"/>
                <w:szCs w:val="23"/>
              </w:rPr>
            </w:pPr>
            <w:r w:rsidRPr="00A32D72">
              <w:rPr>
                <w:rFonts w:ascii="TeXGyreAdventor" w:hAnsi="TeXGyreAdventor" w:cs="TeXGyreAdventor"/>
                <w:b/>
                <w:bCs/>
                <w:color w:val="000000"/>
                <w:sz w:val="23"/>
                <w:szCs w:val="23"/>
              </w:rPr>
              <w:t>Leadership</w:t>
            </w:r>
          </w:p>
        </w:tc>
        <w:tc>
          <w:tcPr>
            <w:tcW w:w="2524" w:type="dxa"/>
          </w:tcPr>
          <w:tbl>
            <w:tblPr>
              <w:tblW w:w="1998" w:type="dxa"/>
              <w:tblBorders>
                <w:top w:val="nil"/>
                <w:left w:val="nil"/>
                <w:bottom w:val="nil"/>
                <w:right w:val="nil"/>
              </w:tblBorders>
              <w:tblLook w:val="0000" w:firstRow="0" w:lastRow="0" w:firstColumn="0" w:lastColumn="0" w:noHBand="0" w:noVBand="0"/>
            </w:tblPr>
            <w:tblGrid>
              <w:gridCol w:w="1998"/>
            </w:tblGrid>
            <w:tr w:rsidR="00A32D72" w:rsidRPr="00A32D72" w14:paraId="08EA9DC2" w14:textId="77777777" w:rsidTr="00D64107">
              <w:tblPrEx>
                <w:tblCellMar>
                  <w:top w:w="0" w:type="dxa"/>
                  <w:bottom w:w="0" w:type="dxa"/>
                </w:tblCellMar>
              </w:tblPrEx>
              <w:trPr>
                <w:trHeight w:val="172"/>
              </w:trPr>
              <w:tc>
                <w:tcPr>
                  <w:tcW w:w="0" w:type="auto"/>
                </w:tcPr>
                <w:p w14:paraId="356543E6" w14:textId="4648E1C4" w:rsidR="00A32D72" w:rsidRPr="00A32D72" w:rsidRDefault="00A32D72" w:rsidP="00D64107">
                  <w:pPr>
                    <w:autoSpaceDE w:val="0"/>
                    <w:autoSpaceDN w:val="0"/>
                    <w:adjustRightInd w:val="0"/>
                    <w:spacing w:after="0" w:line="241" w:lineRule="atLeast"/>
                    <w:jc w:val="center"/>
                    <w:rPr>
                      <w:rFonts w:ascii="TeXGyreAdventor" w:hAnsi="TeXGyreAdventor" w:cs="TeXGyreAdventor"/>
                      <w:color w:val="000000"/>
                      <w:sz w:val="23"/>
                      <w:szCs w:val="23"/>
                    </w:rPr>
                  </w:pPr>
                  <w:r w:rsidRPr="00A32D72">
                    <w:rPr>
                      <w:rFonts w:ascii="TeXGyreAdventor" w:hAnsi="TeXGyreAdventor" w:cs="TeXGyreAdventor"/>
                      <w:b/>
                      <w:bCs/>
                      <w:color w:val="000000"/>
                      <w:sz w:val="23"/>
                      <w:szCs w:val="23"/>
                    </w:rPr>
                    <w:t>Governance body</w:t>
                  </w:r>
                </w:p>
              </w:tc>
            </w:tr>
          </w:tbl>
          <w:p w14:paraId="765E7171" w14:textId="77777777" w:rsidR="00A32D72" w:rsidRDefault="00A32D72" w:rsidP="00D64107">
            <w:pPr>
              <w:jc w:val="center"/>
            </w:pPr>
          </w:p>
        </w:tc>
        <w:tc>
          <w:tcPr>
            <w:tcW w:w="2524" w:type="dxa"/>
          </w:tcPr>
          <w:tbl>
            <w:tblPr>
              <w:tblW w:w="0" w:type="auto"/>
              <w:tblBorders>
                <w:top w:val="nil"/>
                <w:left w:val="nil"/>
                <w:bottom w:val="nil"/>
                <w:right w:val="nil"/>
              </w:tblBorders>
              <w:tblLook w:val="0000" w:firstRow="0" w:lastRow="0" w:firstColumn="0" w:lastColumn="0" w:noHBand="0" w:noVBand="0"/>
            </w:tblPr>
            <w:tblGrid>
              <w:gridCol w:w="1554"/>
            </w:tblGrid>
            <w:tr w:rsidR="00A32D72" w:rsidRPr="00A32D72" w14:paraId="5AB1BDF8" w14:textId="77777777">
              <w:tblPrEx>
                <w:tblCellMar>
                  <w:top w:w="0" w:type="dxa"/>
                  <w:bottom w:w="0" w:type="dxa"/>
                </w:tblCellMar>
              </w:tblPrEx>
              <w:trPr>
                <w:trHeight w:val="184"/>
              </w:trPr>
              <w:tc>
                <w:tcPr>
                  <w:tcW w:w="0" w:type="auto"/>
                </w:tcPr>
                <w:p w14:paraId="3336DC64" w14:textId="7509ED33" w:rsidR="00A32D72" w:rsidRPr="00A32D72" w:rsidRDefault="00A32D72" w:rsidP="00D64107">
                  <w:pPr>
                    <w:autoSpaceDE w:val="0"/>
                    <w:autoSpaceDN w:val="0"/>
                    <w:adjustRightInd w:val="0"/>
                    <w:spacing w:after="0" w:line="241" w:lineRule="atLeast"/>
                    <w:jc w:val="center"/>
                    <w:rPr>
                      <w:rFonts w:ascii="TeXGyreAdventor" w:hAnsi="TeXGyreAdventor" w:cs="TeXGyreAdventor"/>
                      <w:color w:val="000000"/>
                      <w:sz w:val="23"/>
                      <w:szCs w:val="23"/>
                    </w:rPr>
                  </w:pPr>
                  <w:r w:rsidRPr="00A32D72">
                    <w:rPr>
                      <w:rFonts w:ascii="TeXGyreAdventor" w:hAnsi="TeXGyreAdventor" w:cs="TeXGyreAdventor"/>
                      <w:b/>
                      <w:bCs/>
                      <w:color w:val="000000"/>
                      <w:sz w:val="23"/>
                      <w:szCs w:val="23"/>
                    </w:rPr>
                    <w:t>Responsibility</w:t>
                  </w:r>
                </w:p>
              </w:tc>
            </w:tr>
          </w:tbl>
          <w:p w14:paraId="2032E88D" w14:textId="77777777" w:rsidR="00A32D72" w:rsidRDefault="00A32D72" w:rsidP="00D64107">
            <w:pPr>
              <w:jc w:val="center"/>
            </w:pPr>
          </w:p>
        </w:tc>
      </w:tr>
      <w:tr w:rsidR="00A32D72" w14:paraId="137C7BDD" w14:textId="77777777" w:rsidTr="00A32D72">
        <w:tc>
          <w:tcPr>
            <w:tcW w:w="2523" w:type="dxa"/>
          </w:tcPr>
          <w:p w14:paraId="7140CFA9" w14:textId="2AB3571B" w:rsidR="00A32D72" w:rsidRDefault="00A32D72" w:rsidP="00A32D72">
            <w:r>
              <w:t>Ward</w:t>
            </w:r>
          </w:p>
        </w:tc>
        <w:tc>
          <w:tcPr>
            <w:tcW w:w="2524" w:type="dxa"/>
          </w:tcPr>
          <w:tbl>
            <w:tblPr>
              <w:tblW w:w="0" w:type="auto"/>
              <w:tblBorders>
                <w:top w:val="nil"/>
                <w:left w:val="nil"/>
                <w:bottom w:val="nil"/>
                <w:right w:val="nil"/>
              </w:tblBorders>
              <w:tblLook w:val="0000" w:firstRow="0" w:lastRow="0" w:firstColumn="0" w:lastColumn="0" w:noHBand="0" w:noVBand="0"/>
            </w:tblPr>
            <w:tblGrid>
              <w:gridCol w:w="2272"/>
            </w:tblGrid>
            <w:tr w:rsidR="00A32D72" w:rsidRPr="00A32D72" w14:paraId="62C42B35" w14:textId="77777777">
              <w:tblPrEx>
                <w:tblCellMar>
                  <w:top w:w="0" w:type="dxa"/>
                  <w:bottom w:w="0" w:type="dxa"/>
                </w:tblCellMar>
              </w:tblPrEx>
              <w:trPr>
                <w:trHeight w:val="462"/>
              </w:trPr>
              <w:tc>
                <w:tcPr>
                  <w:tcW w:w="0" w:type="auto"/>
                </w:tcPr>
                <w:p w14:paraId="2DAE7810" w14:textId="45210237" w:rsidR="00A32D72" w:rsidRPr="00A32D72" w:rsidRDefault="00A32D72" w:rsidP="00A32D72">
                  <w:pPr>
                    <w:autoSpaceDE w:val="0"/>
                    <w:autoSpaceDN w:val="0"/>
                    <w:adjustRightInd w:val="0"/>
                    <w:spacing w:after="0" w:line="241" w:lineRule="atLeast"/>
                    <w:rPr>
                      <w:rFonts w:ascii="TeXGyreAdventor" w:hAnsi="TeXGyreAdventor" w:cs="TeXGyreAdventor"/>
                      <w:color w:val="000000"/>
                      <w:sz w:val="23"/>
                      <w:szCs w:val="23"/>
                    </w:rPr>
                  </w:pPr>
                  <w:r w:rsidRPr="00A32D72">
                    <w:rPr>
                      <w:rFonts w:ascii="TeXGyreAdventor" w:hAnsi="TeXGyreAdventor" w:cs="TeXGyreAdventor"/>
                      <w:color w:val="000000"/>
                      <w:sz w:val="23"/>
                      <w:szCs w:val="23"/>
                    </w:rPr>
                    <w:t xml:space="preserve">Ward </w:t>
                  </w:r>
                  <w:r w:rsidRPr="00A32D72">
                    <w:rPr>
                      <w:rFonts w:ascii="TeXGyreAdventor" w:hAnsi="TeXGyreAdventor" w:cs="TeXGyreAdventor"/>
                      <w:color w:val="000000"/>
                      <w:sz w:val="23"/>
                      <w:szCs w:val="23"/>
                    </w:rPr>
                    <w:t>Councilor</w:t>
                  </w:r>
                  <w:r w:rsidRPr="00A32D72">
                    <w:rPr>
                      <w:rFonts w:ascii="TeXGyreAdventor" w:hAnsi="TeXGyreAdventor" w:cs="TeXGyreAdventor"/>
                      <w:color w:val="000000"/>
                      <w:sz w:val="23"/>
                      <w:szCs w:val="23"/>
                    </w:rPr>
                    <w:t xml:space="preserve"> </w:t>
                  </w:r>
                </w:p>
                <w:p w14:paraId="1940B749" w14:textId="77777777" w:rsidR="00A32D72" w:rsidRPr="00A32D72" w:rsidRDefault="00A32D72" w:rsidP="00A32D72">
                  <w:pPr>
                    <w:autoSpaceDE w:val="0"/>
                    <w:autoSpaceDN w:val="0"/>
                    <w:adjustRightInd w:val="0"/>
                    <w:spacing w:after="0" w:line="241" w:lineRule="atLeast"/>
                    <w:rPr>
                      <w:rFonts w:ascii="TeXGyreAdventor" w:hAnsi="TeXGyreAdventor" w:cs="TeXGyreAdventor"/>
                      <w:color w:val="000000"/>
                      <w:sz w:val="23"/>
                      <w:szCs w:val="23"/>
                    </w:rPr>
                  </w:pPr>
                  <w:r w:rsidRPr="00A32D72">
                    <w:rPr>
                      <w:rFonts w:ascii="TeXGyreAdventor" w:hAnsi="TeXGyreAdventor" w:cs="TeXGyreAdventor"/>
                      <w:color w:val="000000"/>
                      <w:sz w:val="23"/>
                      <w:szCs w:val="23"/>
                    </w:rPr>
                    <w:t>(Democratic struc</w:t>
                  </w:r>
                  <w:r w:rsidRPr="00A32D72">
                    <w:rPr>
                      <w:rFonts w:ascii="TeXGyreAdventor" w:hAnsi="TeXGyreAdventor" w:cs="TeXGyreAdventor"/>
                      <w:color w:val="000000"/>
                      <w:sz w:val="23"/>
                      <w:szCs w:val="23"/>
                    </w:rPr>
                    <w:softHyphen/>
                    <w:t xml:space="preserve">ture </w:t>
                  </w:r>
                </w:p>
              </w:tc>
            </w:tr>
          </w:tbl>
          <w:p w14:paraId="5E6B8B8A" w14:textId="77777777" w:rsidR="00A32D72" w:rsidRDefault="00A32D72" w:rsidP="00A32D72"/>
        </w:tc>
        <w:tc>
          <w:tcPr>
            <w:tcW w:w="2524" w:type="dxa"/>
          </w:tcPr>
          <w:tbl>
            <w:tblPr>
              <w:tblW w:w="0" w:type="auto"/>
              <w:tblBorders>
                <w:top w:val="nil"/>
                <w:left w:val="nil"/>
                <w:bottom w:val="nil"/>
                <w:right w:val="nil"/>
              </w:tblBorders>
              <w:tblLook w:val="0000" w:firstRow="0" w:lastRow="0" w:firstColumn="0" w:lastColumn="0" w:noHBand="0" w:noVBand="0"/>
            </w:tblPr>
            <w:tblGrid>
              <w:gridCol w:w="1926"/>
            </w:tblGrid>
            <w:tr w:rsidR="00A32D72" w:rsidRPr="00A32D72" w14:paraId="5594D0D7" w14:textId="77777777">
              <w:tblPrEx>
                <w:tblCellMar>
                  <w:top w:w="0" w:type="dxa"/>
                  <w:bottom w:w="0" w:type="dxa"/>
                </w:tblCellMar>
              </w:tblPrEx>
              <w:trPr>
                <w:trHeight w:val="318"/>
              </w:trPr>
              <w:tc>
                <w:tcPr>
                  <w:tcW w:w="0" w:type="auto"/>
                </w:tcPr>
                <w:p w14:paraId="180E631C" w14:textId="77777777" w:rsidR="00A32D72" w:rsidRPr="00A32D72" w:rsidRDefault="00A32D72" w:rsidP="00A32D72">
                  <w:pPr>
                    <w:autoSpaceDE w:val="0"/>
                    <w:autoSpaceDN w:val="0"/>
                    <w:adjustRightInd w:val="0"/>
                    <w:spacing w:after="0" w:line="241" w:lineRule="atLeast"/>
                    <w:rPr>
                      <w:rFonts w:ascii="TeXGyreAdventor" w:hAnsi="TeXGyreAdventor" w:cs="TeXGyreAdventor"/>
                      <w:color w:val="000000"/>
                      <w:sz w:val="23"/>
                      <w:szCs w:val="23"/>
                    </w:rPr>
                  </w:pPr>
                  <w:r w:rsidRPr="00A32D72">
                    <w:rPr>
                      <w:rFonts w:ascii="TeXGyreAdventor" w:hAnsi="TeXGyreAdventor" w:cs="TeXGyreAdventor"/>
                      <w:color w:val="000000"/>
                      <w:sz w:val="23"/>
                      <w:szCs w:val="23"/>
                    </w:rPr>
                    <w:t xml:space="preserve">Ward Committee </w:t>
                  </w:r>
                </w:p>
                <w:p w14:paraId="7AFCF6CB" w14:textId="77777777" w:rsidR="00A32D72" w:rsidRPr="00A32D72" w:rsidRDefault="00A32D72" w:rsidP="00A32D72">
                  <w:pPr>
                    <w:autoSpaceDE w:val="0"/>
                    <w:autoSpaceDN w:val="0"/>
                    <w:adjustRightInd w:val="0"/>
                    <w:spacing w:after="0" w:line="241" w:lineRule="atLeast"/>
                    <w:rPr>
                      <w:rFonts w:ascii="TeXGyreAdventor" w:hAnsi="TeXGyreAdventor" w:cs="TeXGyreAdventor"/>
                      <w:color w:val="000000"/>
                      <w:sz w:val="23"/>
                      <w:szCs w:val="23"/>
                    </w:rPr>
                  </w:pPr>
                  <w:r w:rsidRPr="00A32D72">
                    <w:rPr>
                      <w:rFonts w:ascii="TeXGyreAdventor" w:hAnsi="TeXGyreAdventor" w:cs="TeXGyreAdventor"/>
                      <w:color w:val="000000"/>
                      <w:sz w:val="23"/>
                      <w:szCs w:val="23"/>
                    </w:rPr>
                    <w:t xml:space="preserve">(5 men, 5 women) </w:t>
                  </w:r>
                </w:p>
              </w:tc>
            </w:tr>
          </w:tbl>
          <w:p w14:paraId="5ED524CB" w14:textId="77777777" w:rsidR="00A32D72" w:rsidRDefault="00A32D72" w:rsidP="00A32D72"/>
        </w:tc>
        <w:tc>
          <w:tcPr>
            <w:tcW w:w="2524" w:type="dxa"/>
          </w:tcPr>
          <w:p w14:paraId="46DAA57A" w14:textId="77777777" w:rsidR="00A32D72" w:rsidRDefault="00D64107" w:rsidP="00D64107">
            <w:pPr>
              <w:pStyle w:val="ListParagraph"/>
              <w:numPr>
                <w:ilvl w:val="0"/>
                <w:numId w:val="18"/>
              </w:numPr>
            </w:pPr>
            <w:r>
              <w:t>Political representation of the community.</w:t>
            </w:r>
          </w:p>
          <w:p w14:paraId="31F15CA9" w14:textId="62D6C169" w:rsidR="00D64107" w:rsidRDefault="00D64107" w:rsidP="00D64107">
            <w:pPr>
              <w:pStyle w:val="ListParagraph"/>
              <w:numPr>
                <w:ilvl w:val="0"/>
                <w:numId w:val="18"/>
              </w:numPr>
            </w:pPr>
            <w:r>
              <w:t>Articulate and prioritize community needs for planning</w:t>
            </w:r>
          </w:p>
        </w:tc>
      </w:tr>
      <w:tr w:rsidR="00A32D72" w14:paraId="6E6F6E39" w14:textId="77777777" w:rsidTr="00A32D72">
        <w:tc>
          <w:tcPr>
            <w:tcW w:w="2523" w:type="dxa"/>
          </w:tcPr>
          <w:p w14:paraId="29A8972B" w14:textId="37C6D76F" w:rsidR="00A32D72" w:rsidRDefault="00D64107" w:rsidP="00A32D72">
            <w:r>
              <w:t xml:space="preserve">Chiefdom </w:t>
            </w:r>
          </w:p>
        </w:tc>
        <w:tc>
          <w:tcPr>
            <w:tcW w:w="2524" w:type="dxa"/>
          </w:tcPr>
          <w:p w14:paraId="43BC03D8" w14:textId="17B7C46B" w:rsidR="00A32D72" w:rsidRDefault="00D64107" w:rsidP="00A32D72">
            <w:r>
              <w:t>Paramount Chief (Traditional Structure)</w:t>
            </w:r>
          </w:p>
        </w:tc>
        <w:tc>
          <w:tcPr>
            <w:tcW w:w="2524" w:type="dxa"/>
          </w:tcPr>
          <w:p w14:paraId="1EEC4A4A" w14:textId="4D446322" w:rsidR="00A32D72" w:rsidRDefault="00D64107" w:rsidP="00A32D72">
            <w:r>
              <w:t>Chiefdom Development Committee</w:t>
            </w:r>
          </w:p>
        </w:tc>
        <w:tc>
          <w:tcPr>
            <w:tcW w:w="2524" w:type="dxa"/>
          </w:tcPr>
          <w:p w14:paraId="48BB7935" w14:textId="77777777" w:rsidR="00A32D72" w:rsidRDefault="00D64107" w:rsidP="00D64107">
            <w:pPr>
              <w:pStyle w:val="ListParagraph"/>
              <w:numPr>
                <w:ilvl w:val="0"/>
                <w:numId w:val="18"/>
              </w:numPr>
            </w:pPr>
            <w:r>
              <w:t>Traditional leadership.</w:t>
            </w:r>
          </w:p>
          <w:p w14:paraId="0A1FDEA9" w14:textId="77777777" w:rsidR="00D64107" w:rsidRDefault="00D64107" w:rsidP="00D64107">
            <w:pPr>
              <w:pStyle w:val="ListParagraph"/>
              <w:numPr>
                <w:ilvl w:val="0"/>
                <w:numId w:val="18"/>
              </w:numPr>
            </w:pPr>
            <w:r>
              <w:t>Resource allocation.</w:t>
            </w:r>
          </w:p>
          <w:p w14:paraId="69EAC409" w14:textId="10174FD5" w:rsidR="00D64107" w:rsidRDefault="00D64107" w:rsidP="00D64107">
            <w:pPr>
              <w:pStyle w:val="ListParagraph"/>
              <w:numPr>
                <w:ilvl w:val="0"/>
                <w:numId w:val="18"/>
              </w:numPr>
            </w:pPr>
            <w:r>
              <w:lastRenderedPageBreak/>
              <w:t>Custodian of cultural and traditional norms.</w:t>
            </w:r>
          </w:p>
        </w:tc>
      </w:tr>
      <w:tr w:rsidR="00A32D72" w14:paraId="7C7E1E3D" w14:textId="77777777" w:rsidTr="00A32D72">
        <w:tc>
          <w:tcPr>
            <w:tcW w:w="2523" w:type="dxa"/>
          </w:tcPr>
          <w:p w14:paraId="43E4828F" w14:textId="4314F488" w:rsidR="00A32D72" w:rsidRDefault="00D64107" w:rsidP="00A32D72">
            <w:r>
              <w:lastRenderedPageBreak/>
              <w:t xml:space="preserve">Village </w:t>
            </w:r>
          </w:p>
        </w:tc>
        <w:tc>
          <w:tcPr>
            <w:tcW w:w="2524" w:type="dxa"/>
          </w:tcPr>
          <w:p w14:paraId="3071798C" w14:textId="5E07488D" w:rsidR="00A32D72" w:rsidRDefault="00D64107" w:rsidP="00A32D72">
            <w:r>
              <w:t>Town Chief</w:t>
            </w:r>
          </w:p>
        </w:tc>
        <w:tc>
          <w:tcPr>
            <w:tcW w:w="2524" w:type="dxa"/>
          </w:tcPr>
          <w:p w14:paraId="0C50C249" w14:textId="22485DD4" w:rsidR="00A32D72" w:rsidRDefault="00D64107" w:rsidP="00A32D72">
            <w:r>
              <w:t>Village/Area/Health Development Committee</w:t>
            </w:r>
          </w:p>
        </w:tc>
        <w:tc>
          <w:tcPr>
            <w:tcW w:w="2524" w:type="dxa"/>
          </w:tcPr>
          <w:p w14:paraId="113A1681" w14:textId="78D565EB" w:rsidR="00A32D72" w:rsidRDefault="00D64107" w:rsidP="00D64107">
            <w:pPr>
              <w:pStyle w:val="ListParagraph"/>
              <w:numPr>
                <w:ilvl w:val="0"/>
                <w:numId w:val="18"/>
              </w:numPr>
            </w:pPr>
            <w:r>
              <w:t>Manage community development interventions.</w:t>
            </w:r>
          </w:p>
        </w:tc>
      </w:tr>
    </w:tbl>
    <w:p w14:paraId="2DC2207F" w14:textId="77777777" w:rsidR="00A32D72" w:rsidRDefault="00A32D72" w:rsidP="00A32D72"/>
    <w:sectPr w:rsidR="00A32D72" w:rsidSect="00347A02">
      <w:pgSz w:w="11905" w:h="16837"/>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eXGyreAdventor">
    <w:altName w:val="TeXGyreAdvento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A7E22D"/>
    <w:multiLevelType w:val="hybridMultilevel"/>
    <w:tmpl w:val="36560F0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0C25E"/>
    <w:multiLevelType w:val="hybridMultilevel"/>
    <w:tmpl w:val="D2B2A4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78C4C1"/>
    <w:multiLevelType w:val="hybridMultilevel"/>
    <w:tmpl w:val="5CCA09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9A1473"/>
    <w:multiLevelType w:val="hybridMultilevel"/>
    <w:tmpl w:val="B1A086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ED69F6"/>
    <w:multiLevelType w:val="hybridMultilevel"/>
    <w:tmpl w:val="B7FA6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66E4BB"/>
    <w:multiLevelType w:val="hybridMultilevel"/>
    <w:tmpl w:val="5BCF19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5D544B"/>
    <w:multiLevelType w:val="hybridMultilevel"/>
    <w:tmpl w:val="1A6C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1037F"/>
    <w:multiLevelType w:val="hybridMultilevel"/>
    <w:tmpl w:val="C84A4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D68EC"/>
    <w:multiLevelType w:val="hybridMultilevel"/>
    <w:tmpl w:val="083E79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EA2905"/>
    <w:multiLevelType w:val="hybridMultilevel"/>
    <w:tmpl w:val="BCE0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3EACB"/>
    <w:multiLevelType w:val="hybridMultilevel"/>
    <w:tmpl w:val="1EA241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09D43F"/>
    <w:multiLevelType w:val="hybridMultilevel"/>
    <w:tmpl w:val="02ADB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D3EF79"/>
    <w:multiLevelType w:val="hybridMultilevel"/>
    <w:tmpl w:val="06811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6818D4"/>
    <w:multiLevelType w:val="hybridMultilevel"/>
    <w:tmpl w:val="E82C91D8"/>
    <w:lvl w:ilvl="0" w:tplc="4B649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431CB"/>
    <w:multiLevelType w:val="hybridMultilevel"/>
    <w:tmpl w:val="E35C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29096A"/>
    <w:multiLevelType w:val="hybridMultilevel"/>
    <w:tmpl w:val="C5000A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8F47AB"/>
    <w:multiLevelType w:val="hybridMultilevel"/>
    <w:tmpl w:val="72BC0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B4B69"/>
    <w:multiLevelType w:val="hybridMultilevel"/>
    <w:tmpl w:val="3304C1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
  </w:num>
  <w:num w:numId="3">
    <w:abstractNumId w:val="12"/>
  </w:num>
  <w:num w:numId="4">
    <w:abstractNumId w:val="3"/>
  </w:num>
  <w:num w:numId="5">
    <w:abstractNumId w:val="0"/>
  </w:num>
  <w:num w:numId="6">
    <w:abstractNumId w:val="11"/>
  </w:num>
  <w:num w:numId="7">
    <w:abstractNumId w:val="10"/>
  </w:num>
  <w:num w:numId="8">
    <w:abstractNumId w:val="5"/>
  </w:num>
  <w:num w:numId="9">
    <w:abstractNumId w:val="7"/>
  </w:num>
  <w:num w:numId="10">
    <w:abstractNumId w:val="16"/>
  </w:num>
  <w:num w:numId="11">
    <w:abstractNumId w:val="13"/>
  </w:num>
  <w:num w:numId="12">
    <w:abstractNumId w:val="15"/>
  </w:num>
  <w:num w:numId="13">
    <w:abstractNumId w:val="6"/>
  </w:num>
  <w:num w:numId="14">
    <w:abstractNumId w:val="4"/>
  </w:num>
  <w:num w:numId="15">
    <w:abstractNumId w:val="9"/>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4F"/>
    <w:rsid w:val="002D6E2F"/>
    <w:rsid w:val="003126F1"/>
    <w:rsid w:val="006C384F"/>
    <w:rsid w:val="00A32D72"/>
    <w:rsid w:val="00D64107"/>
    <w:rsid w:val="00FB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A6B2"/>
  <w15:chartTrackingRefBased/>
  <w15:docId w15:val="{723322DA-5C71-48DC-BA04-011798EA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84F"/>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6C384F"/>
    <w:pPr>
      <w:spacing w:line="241" w:lineRule="atLeast"/>
    </w:pPr>
    <w:rPr>
      <w:color w:val="auto"/>
    </w:rPr>
  </w:style>
  <w:style w:type="character" w:customStyle="1" w:styleId="A13">
    <w:name w:val="A13"/>
    <w:uiPriority w:val="99"/>
    <w:rsid w:val="006C384F"/>
    <w:rPr>
      <w:b/>
      <w:bCs/>
      <w:i/>
      <w:iCs/>
      <w:color w:val="000000"/>
      <w:sz w:val="26"/>
      <w:szCs w:val="26"/>
    </w:rPr>
  </w:style>
  <w:style w:type="character" w:customStyle="1" w:styleId="A14">
    <w:name w:val="A14"/>
    <w:uiPriority w:val="99"/>
    <w:rsid w:val="006C384F"/>
    <w:rPr>
      <w:color w:val="000000"/>
      <w:u w:val="single"/>
    </w:rPr>
  </w:style>
  <w:style w:type="character" w:customStyle="1" w:styleId="A15">
    <w:name w:val="A15"/>
    <w:uiPriority w:val="99"/>
    <w:rsid w:val="006C384F"/>
    <w:rPr>
      <w:b/>
      <w:bCs/>
      <w:i/>
      <w:iCs/>
      <w:color w:val="000000"/>
      <w:sz w:val="26"/>
      <w:szCs w:val="26"/>
      <w:u w:val="single"/>
    </w:rPr>
  </w:style>
  <w:style w:type="paragraph" w:styleId="ListParagraph">
    <w:name w:val="List Paragraph"/>
    <w:basedOn w:val="Normal"/>
    <w:uiPriority w:val="34"/>
    <w:qFormat/>
    <w:rsid w:val="003126F1"/>
    <w:pPr>
      <w:ind w:left="720"/>
      <w:contextualSpacing/>
    </w:pPr>
  </w:style>
  <w:style w:type="character" w:customStyle="1" w:styleId="A12">
    <w:name w:val="A12"/>
    <w:uiPriority w:val="99"/>
    <w:rsid w:val="00FB7246"/>
    <w:rPr>
      <w:color w:val="000000"/>
    </w:rPr>
  </w:style>
  <w:style w:type="table" w:styleId="TableGrid">
    <w:name w:val="Table Grid"/>
    <w:basedOn w:val="TableNormal"/>
    <w:uiPriority w:val="39"/>
    <w:rsid w:val="00A3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BANGURA</dc:creator>
  <cp:keywords/>
  <dc:description/>
  <cp:lastModifiedBy>Marian BANGURA</cp:lastModifiedBy>
  <cp:revision>1</cp:revision>
  <dcterms:created xsi:type="dcterms:W3CDTF">2022-01-31T12:35:00Z</dcterms:created>
  <dcterms:modified xsi:type="dcterms:W3CDTF">2022-01-31T13:29:00Z</dcterms:modified>
</cp:coreProperties>
</file>