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F6" w:rsidRPr="00D71AC9" w:rsidRDefault="00211D33">
      <w:pPr>
        <w:spacing w:after="305" w:line="259" w:lineRule="auto"/>
        <w:ind w:left="42" w:right="42" w:firstLine="0"/>
        <w:jc w:val="right"/>
        <w:rPr>
          <w:lang w:val="pt-PT"/>
        </w:rPr>
      </w:pPr>
      <w:bookmarkStart w:id="0" w:name="_GoBack"/>
      <w:bookmarkEnd w:id="0"/>
      <w:r w:rsidRPr="00D71AC9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26515</wp:posOffset>
            </wp:positionH>
            <wp:positionV relativeFrom="paragraph">
              <wp:posOffset>-158855</wp:posOffset>
            </wp:positionV>
            <wp:extent cx="1829269" cy="795832"/>
            <wp:effectExtent l="0" t="0" r="0" b="0"/>
            <wp:wrapSquare wrapText="bothSides"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269" cy="795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1AC9">
        <w:rPr>
          <w:b/>
          <w:lang w:val="pt-PT"/>
        </w:rPr>
        <w:t xml:space="preserve"> </w:t>
      </w:r>
    </w:p>
    <w:p w:rsidR="000001F6" w:rsidRPr="00D71AC9" w:rsidRDefault="00211D33">
      <w:pPr>
        <w:spacing w:after="275" w:line="259" w:lineRule="auto"/>
        <w:ind w:left="0" w:firstLine="0"/>
        <w:rPr>
          <w:rFonts w:ascii="Garamond" w:eastAsia="Garamond" w:hAnsi="Garamond" w:cs="Garamond"/>
          <w:lang w:val="pt-PT"/>
        </w:rPr>
      </w:pPr>
      <w:r w:rsidRPr="00D71AC9">
        <w:rPr>
          <w:rFonts w:ascii="Garamond" w:eastAsia="Garamond" w:hAnsi="Garamond" w:cs="Garamond"/>
          <w:sz w:val="10"/>
          <w:lang w:val="pt-PT"/>
        </w:rPr>
        <w:tab/>
      </w:r>
      <w:r w:rsidRPr="00D71AC9">
        <w:rPr>
          <w:rFonts w:ascii="Garamond" w:eastAsia="Garamond" w:hAnsi="Garamond" w:cs="Garamond"/>
          <w:lang w:val="pt-PT"/>
        </w:rPr>
        <w:t xml:space="preserve"> </w:t>
      </w:r>
    </w:p>
    <w:p w:rsidR="006A4E0E" w:rsidRPr="00D71AC9" w:rsidRDefault="006A4E0E">
      <w:pPr>
        <w:spacing w:after="275" w:line="259" w:lineRule="auto"/>
        <w:ind w:left="0" w:firstLine="0"/>
        <w:rPr>
          <w:lang w:val="pt-PT"/>
        </w:rPr>
      </w:pPr>
    </w:p>
    <w:p w:rsidR="0037227C" w:rsidRPr="00D71AC9" w:rsidRDefault="0037227C" w:rsidP="0037227C">
      <w:pPr>
        <w:pStyle w:val="Heading1"/>
        <w:spacing w:line="260" w:lineRule="auto"/>
        <w:rPr>
          <w:rFonts w:cstheme="minorBidi"/>
          <w:szCs w:val="24"/>
          <w:lang w:val="pt-PT"/>
        </w:rPr>
      </w:pPr>
      <w:r w:rsidRPr="00D71AC9">
        <w:rPr>
          <w:rFonts w:cstheme="minorBidi"/>
          <w:szCs w:val="24"/>
          <w:lang w:val="pt-PT"/>
        </w:rPr>
        <w:t>Informação introdutória:</w:t>
      </w:r>
      <w:r w:rsidR="00FB16E2" w:rsidRPr="00D71AC9">
        <w:rPr>
          <w:rFonts w:cstheme="minorBidi"/>
          <w:szCs w:val="24"/>
          <w:lang w:val="pt-PT"/>
        </w:rPr>
        <w:t xml:space="preserve"> </w:t>
      </w:r>
    </w:p>
    <w:p w:rsidR="0037227C" w:rsidRPr="00D71AC9" w:rsidRDefault="0037227C" w:rsidP="0037227C">
      <w:pPr>
        <w:pStyle w:val="Heading2"/>
        <w:spacing w:after="140" w:line="260" w:lineRule="auto"/>
        <w:ind w:left="-5"/>
        <w:rPr>
          <w:rFonts w:cstheme="minorBidi"/>
          <w:szCs w:val="24"/>
          <w:lang w:val="pt-PT"/>
        </w:rPr>
      </w:pPr>
      <w:r w:rsidRPr="00D71AC9">
        <w:rPr>
          <w:rFonts w:cstheme="minorBidi"/>
          <w:szCs w:val="24"/>
          <w:lang w:val="pt-PT"/>
        </w:rPr>
        <w:t xml:space="preserve">A Avaliação Exaustiva Independente (AEI) </w:t>
      </w:r>
    </w:p>
    <w:p w:rsidR="0037227C" w:rsidRPr="00D71AC9" w:rsidRDefault="0037227C" w:rsidP="0037227C">
      <w:pPr>
        <w:spacing w:after="200" w:line="260" w:lineRule="auto"/>
        <w:ind w:left="-5"/>
        <w:rPr>
          <w:rFonts w:cstheme="minorBidi"/>
          <w:szCs w:val="24"/>
          <w:lang w:val="pt-PT"/>
        </w:rPr>
      </w:pPr>
      <w:r w:rsidRPr="00D71AC9">
        <w:rPr>
          <w:rFonts w:cstheme="minorBidi"/>
          <w:szCs w:val="24"/>
          <w:lang w:val="pt-PT"/>
        </w:rPr>
        <w:t xml:space="preserve">O presente mandato do Grupo de Liderança e do Secretariado decorre até ao final de 2015, e a Estratégia 2012-2015 previa uma avaliação exaustiva para informar o desenvolvimento subsequente do SUN. </w:t>
      </w:r>
    </w:p>
    <w:p w:rsidR="0037227C" w:rsidRPr="00D71AC9" w:rsidRDefault="0037227C" w:rsidP="0037227C">
      <w:pPr>
        <w:spacing w:after="200" w:line="260" w:lineRule="auto"/>
        <w:ind w:left="-5"/>
        <w:rPr>
          <w:rFonts w:cstheme="minorBidi"/>
          <w:szCs w:val="24"/>
          <w:lang w:val="pt-PT"/>
        </w:rPr>
      </w:pPr>
      <w:r w:rsidRPr="00D71AC9">
        <w:rPr>
          <w:rFonts w:cstheme="minorBidi"/>
          <w:szCs w:val="24"/>
          <w:lang w:val="pt-PT"/>
        </w:rPr>
        <w:t>Com base em concursos, a Mokoro Limited (em parceria com a Valid International e a FEG Consulting) foi selecionada para efetuar a avaliação.</w:t>
      </w:r>
      <w:r w:rsidR="00FB16E2" w:rsidRPr="00D71AC9">
        <w:rPr>
          <w:rFonts w:cstheme="minorBidi"/>
          <w:szCs w:val="24"/>
          <w:lang w:val="pt-PT"/>
        </w:rPr>
        <w:t xml:space="preserve"> </w:t>
      </w:r>
    </w:p>
    <w:p w:rsidR="0037227C" w:rsidRPr="00D71AC9" w:rsidRDefault="0037227C" w:rsidP="0037227C">
      <w:pPr>
        <w:spacing w:after="80" w:line="260" w:lineRule="auto"/>
        <w:ind w:left="-5"/>
        <w:rPr>
          <w:rFonts w:cstheme="minorBidi"/>
          <w:szCs w:val="24"/>
          <w:lang w:val="pt-PT"/>
        </w:rPr>
      </w:pPr>
      <w:r w:rsidRPr="00D71AC9">
        <w:rPr>
          <w:rFonts w:cstheme="minorBidi"/>
          <w:szCs w:val="24"/>
          <w:lang w:val="pt-PT"/>
        </w:rPr>
        <w:t xml:space="preserve">Os Termos de Referência estipulam que a AEI: </w:t>
      </w:r>
    </w:p>
    <w:p w:rsidR="0037227C" w:rsidRPr="00D71AC9" w:rsidRDefault="0037227C" w:rsidP="0037227C">
      <w:pPr>
        <w:spacing w:after="280" w:line="240" w:lineRule="auto"/>
        <w:ind w:left="720" w:firstLine="0"/>
        <w:rPr>
          <w:rFonts w:cstheme="minorBidi"/>
          <w:szCs w:val="24"/>
          <w:lang w:val="pt-PT"/>
        </w:rPr>
      </w:pPr>
      <w:r w:rsidRPr="00D71AC9">
        <w:rPr>
          <w:rFonts w:cstheme="minorBidi"/>
          <w:sz w:val="20"/>
          <w:szCs w:val="24"/>
          <w:lang w:val="pt-PT"/>
        </w:rPr>
        <w:t>deverá considerar todos os aspetos do SUN: a estrutura institucional, os objetivos, o(s) modelo(s) de trabalho, os processos decisórios, o posicionamento na arquitetura do desenvolvimento internacional em geral, a relevância, o valor acrescentado, a eficiência e a eficácia. Analisará o grau de eficácia com que o SUN tem realizado os seus objetivos (relacionados com a aceleração da redução da subnutrição) e apresentará opções para a evolução do Movimento SUN no sentido de aperfeiçoar os pontos fortes e solucionar os pontos fracos. Facultará uma avaliação independente do que o SUN já concretizou e está a concretizar, da eficiência e da eficácia dos seus diversos componentes (a administração, as redes e o secretariado), do seu atual funcionamento e, na medida em que seja viável, dos seus contributos aos níveis nacional, regional e global.</w:t>
      </w:r>
      <w:r w:rsidR="00FB16E2" w:rsidRPr="00D71AC9">
        <w:rPr>
          <w:rFonts w:cstheme="minorBidi"/>
          <w:sz w:val="20"/>
          <w:szCs w:val="24"/>
          <w:lang w:val="pt-PT"/>
        </w:rPr>
        <w:t xml:space="preserve"> </w:t>
      </w:r>
      <w:r w:rsidRPr="00D71AC9">
        <w:rPr>
          <w:rFonts w:cstheme="minorBidi"/>
          <w:sz w:val="20"/>
          <w:szCs w:val="24"/>
          <w:lang w:val="pt-PT"/>
        </w:rPr>
        <w:t xml:space="preserve">Examinará o grau em que o SUN está a ajudar os governos nacionais e outros atores a contribuírem para transformações no modo como a nutrição é abordada. E ajuizará sobre o papel do SUN no crescimento da atenção à capacitação das mulheres e à igualdade de género e na catalisação de abordagens sensíveis à nutrição na agricultura, nos cuidados de saúde, na água, no saneamento e noutros setores. (TdR ¶7) </w:t>
      </w:r>
    </w:p>
    <w:p w:rsidR="0037227C" w:rsidRPr="00D71AC9" w:rsidRDefault="0037227C" w:rsidP="0037227C">
      <w:pPr>
        <w:spacing w:after="80" w:line="260" w:lineRule="auto"/>
        <w:ind w:left="-5"/>
        <w:rPr>
          <w:rFonts w:cstheme="minorBidi"/>
          <w:szCs w:val="24"/>
          <w:lang w:val="pt-PT"/>
        </w:rPr>
      </w:pPr>
      <w:r w:rsidRPr="00D71AC9">
        <w:rPr>
          <w:rFonts w:cstheme="minorBidi"/>
          <w:szCs w:val="24"/>
          <w:lang w:val="pt-PT"/>
        </w:rPr>
        <w:t>Os relatórios da avaliação serão apresentados ao Subgrupo de Criação da Visão (SCV) do Grupo de Liderança do SUN e o relatório final da avaliação proporcionará uma plataforma para um processo de criação de uma visão no sentido de definir o futuro do SUN. A independência da avaliação é salvaguardada por um painel independente de Consultores de Garantia da Qualidade.</w:t>
      </w:r>
      <w:r w:rsidR="00FB16E2" w:rsidRPr="00D71AC9">
        <w:rPr>
          <w:rFonts w:cstheme="minorBidi"/>
          <w:szCs w:val="24"/>
          <w:lang w:val="pt-PT"/>
        </w:rPr>
        <w:t xml:space="preserve"> </w:t>
      </w:r>
    </w:p>
    <w:p w:rsidR="000001F6" w:rsidRPr="00D71AC9" w:rsidRDefault="00211D33">
      <w:pPr>
        <w:spacing w:after="0" w:line="259" w:lineRule="auto"/>
        <w:ind w:left="0" w:firstLine="0"/>
        <w:rPr>
          <w:lang w:val="pt-PT"/>
        </w:rPr>
      </w:pPr>
      <w:r w:rsidRPr="00D71AC9">
        <w:rPr>
          <w:rFonts w:ascii="Arial" w:eastAsia="Arial" w:hAnsi="Arial" w:cs="Arial"/>
          <w:sz w:val="12"/>
          <w:lang w:val="pt-PT"/>
        </w:rPr>
        <w:t xml:space="preserve"> </w:t>
      </w:r>
    </w:p>
    <w:p w:rsidR="000001F6" w:rsidRPr="00D71AC9" w:rsidRDefault="007A3E9D" w:rsidP="0037227C">
      <w:pPr>
        <w:spacing w:after="240" w:line="260" w:lineRule="auto"/>
        <w:ind w:left="-29" w:right="-28" w:firstLine="0"/>
        <w:rPr>
          <w:lang w:val="pt-PT"/>
        </w:rPr>
      </w:pPr>
      <w:r>
        <w:rPr>
          <w:rFonts w:ascii="Calibri" w:eastAsia="Calibri" w:hAnsi="Calibri" w:cs="Calibri"/>
          <w:sz w:val="22"/>
          <w:lang w:val="pt-PT"/>
        </w:rPr>
      </w:r>
      <w:r>
        <w:rPr>
          <w:rFonts w:ascii="Calibri" w:eastAsia="Calibri" w:hAnsi="Calibri" w:cs="Calibri"/>
          <w:sz w:val="22"/>
          <w:lang w:val="pt-PT"/>
        </w:rPr>
        <w:pict>
          <v:group id="Group 1162" o:spid="_x0000_s1026" style="width:454.3pt;height:.5pt;mso-position-horizontal-relative:char;mso-position-vertical-relative:line" coordsize="57698,60">
            <v:shape id="Shape 2142" o:spid="_x0000_s1027" style="position:absolute;width:57698;height:91;visibility:visible" coordsize="576986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pbMQA&#10;AADdAAAADwAAAGRycy9kb3ducmV2LnhtbESPUWvCQBCE3wv+h2OFvki9M0iR1FNsQag+WfUHLLk1&#10;CWb3Qu5qUn99ryD0cZiZb5jleuBG3agLtRcLs6kBRVJ4V0tp4XzavixAhYjisPFCFn4owHo1elpi&#10;7nwvX3Q7xlIliIQcLVQxtrnWoaiIMUx9S5K8i+8YY5JdqV2HfYJzozNjXjVjLWmhwpY+Kiqux2+2&#10;UGx3wnu9mZjDezSL/s6T+Z6tfR4PmzdQkYb4H360P52FbDbP4O9NegJ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DKWzEAAAA3QAAAA8AAAAAAAAAAAAAAAAAmAIAAGRycy9k&#10;b3ducmV2LnhtbFBLBQYAAAAABAAEAPUAAACJAwAAAAA=&#10;" adj="0,,0" path="m,l5769864,r,9144l,9144,,e" fillcolor="black" stroked="f" strokeweight="0">
              <v:stroke miterlimit="83231f" joinstyle="miter"/>
              <v:formulas/>
              <v:path arrowok="t" o:connecttype="segments" textboxrect="0,0,5769864,9144"/>
            </v:shape>
            <w10:wrap type="none"/>
            <w10:anchorlock/>
          </v:group>
        </w:pict>
      </w:r>
    </w:p>
    <w:p w:rsidR="0037227C" w:rsidRPr="00D71AC9" w:rsidRDefault="0037227C" w:rsidP="0037227C">
      <w:pPr>
        <w:tabs>
          <w:tab w:val="center" w:pos="5316"/>
          <w:tab w:val="right" w:pos="9030"/>
        </w:tabs>
        <w:spacing w:after="0" w:line="260" w:lineRule="auto"/>
        <w:ind w:left="-15" w:right="-15" w:firstLine="0"/>
        <w:rPr>
          <w:rFonts w:cstheme="minorBidi"/>
          <w:szCs w:val="24"/>
          <w:lang w:val="pt-PT"/>
        </w:rPr>
      </w:pPr>
      <w:r w:rsidRPr="00D71AC9">
        <w:rPr>
          <w:rFonts w:ascii="Arial" w:hAnsi="Arial" w:cstheme="minorBidi"/>
          <w:i/>
          <w:sz w:val="18"/>
          <w:szCs w:val="24"/>
          <w:lang w:val="pt-PT"/>
        </w:rPr>
        <w:t>Informação da AEI 2014-08-07</w:t>
      </w:r>
      <w:r w:rsidRPr="00D71AC9">
        <w:rPr>
          <w:rFonts w:ascii="Arial" w:hAnsi="Arial" w:cstheme="minorBidi"/>
          <w:i/>
          <w:sz w:val="19"/>
          <w:szCs w:val="24"/>
          <w:lang w:val="pt-PT"/>
        </w:rPr>
        <w:t xml:space="preserve"> </w:t>
      </w:r>
      <w:r w:rsidRPr="00D71AC9">
        <w:rPr>
          <w:rFonts w:ascii="Arial" w:hAnsi="Arial" w:cstheme="minorBidi"/>
          <w:i/>
          <w:sz w:val="19"/>
          <w:szCs w:val="24"/>
          <w:lang w:val="pt-PT"/>
        </w:rPr>
        <w:tab/>
      </w:r>
      <w:r w:rsidRPr="00D71AC9">
        <w:rPr>
          <w:rFonts w:ascii="Arial" w:hAnsi="Arial" w:cstheme="minorBidi"/>
          <w:szCs w:val="24"/>
          <w:lang w:val="pt-PT"/>
        </w:rPr>
        <w:t xml:space="preserve"> </w:t>
      </w:r>
      <w:r w:rsidRPr="00D71AC9">
        <w:rPr>
          <w:rFonts w:ascii="Arial" w:hAnsi="Arial" w:cstheme="minorBidi"/>
          <w:szCs w:val="24"/>
          <w:lang w:val="pt-PT"/>
        </w:rPr>
        <w:tab/>
        <w:t>(1)</w:t>
      </w:r>
      <w:r w:rsidRPr="00D71AC9">
        <w:rPr>
          <w:rFonts w:ascii="Arial" w:hAnsi="Arial" w:cstheme="minorBidi"/>
          <w:i/>
          <w:sz w:val="19"/>
          <w:szCs w:val="24"/>
          <w:lang w:val="pt-PT"/>
        </w:rPr>
        <w:t xml:space="preserve"> </w:t>
      </w:r>
    </w:p>
    <w:p w:rsidR="000001F6" w:rsidRPr="00D71AC9" w:rsidRDefault="00211D33">
      <w:pPr>
        <w:spacing w:after="0" w:line="259" w:lineRule="auto"/>
        <w:ind w:left="0" w:firstLine="0"/>
        <w:rPr>
          <w:lang w:val="pt-PT"/>
        </w:rPr>
      </w:pPr>
      <w:r w:rsidRPr="00D71AC9">
        <w:rPr>
          <w:rFonts w:ascii="Arial" w:eastAsia="Arial" w:hAnsi="Arial" w:cs="Arial"/>
          <w:sz w:val="6"/>
          <w:lang w:val="pt-PT"/>
        </w:rPr>
        <w:t xml:space="preserve"> </w:t>
      </w:r>
    </w:p>
    <w:p w:rsidR="0037227C" w:rsidRPr="00D71AC9" w:rsidRDefault="0037227C" w:rsidP="0037227C">
      <w:pPr>
        <w:spacing w:after="0" w:line="260" w:lineRule="auto"/>
        <w:ind w:left="0" w:right="1" w:firstLine="0"/>
        <w:jc w:val="center"/>
        <w:rPr>
          <w:rFonts w:cstheme="minorBidi"/>
          <w:szCs w:val="24"/>
          <w:lang w:val="pt-PT"/>
        </w:rPr>
      </w:pPr>
      <w:r w:rsidRPr="00D71AC9">
        <w:rPr>
          <w:rFonts w:cstheme="minorBidi"/>
          <w:i/>
          <w:szCs w:val="24"/>
          <w:lang w:val="pt-PT"/>
        </w:rPr>
        <w:t xml:space="preserve">Avaliação Exaustiva Independente do Movimento SUN </w:t>
      </w:r>
    </w:p>
    <w:p w:rsidR="000001F6" w:rsidRPr="00D71AC9" w:rsidRDefault="007A3E9D" w:rsidP="0037227C">
      <w:pPr>
        <w:spacing w:after="200" w:line="260" w:lineRule="auto"/>
        <w:ind w:left="-29" w:right="-28" w:firstLine="0"/>
        <w:rPr>
          <w:lang w:val="pt-PT"/>
        </w:rPr>
      </w:pPr>
      <w:r>
        <w:rPr>
          <w:rFonts w:ascii="Calibri" w:eastAsia="Calibri" w:hAnsi="Calibri" w:cs="Calibri"/>
          <w:sz w:val="22"/>
          <w:lang w:val="pt-PT"/>
        </w:rPr>
      </w:r>
      <w:r>
        <w:rPr>
          <w:rFonts w:ascii="Calibri" w:eastAsia="Calibri" w:hAnsi="Calibri" w:cs="Calibri"/>
          <w:sz w:val="22"/>
          <w:lang w:val="pt-PT"/>
        </w:rPr>
        <w:pict>
          <v:group id="Group 1285" o:spid="_x0000_s1034" style="width:454.3pt;height:.5pt;mso-position-horizontal-relative:char;mso-position-vertical-relative:line" coordsize="57698,60">
            <v:shape id="Shape 2143" o:spid="_x0000_s1035" style="position:absolute;width:57698;height:91;visibility:visible" coordsize="576986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+M98UA&#10;AADdAAAADwAAAGRycy9kb3ducmV2LnhtbESPUWvCQBCE34X+h2OFvki900qR6Cm2IKhPavsDltya&#10;BLN7IXc1qb/eKxT6OMzMN8xy3XOtbtSGyouFydiAIsm9q6Sw8PW5fZmDChHFYe2FLPxQgPXqabDE&#10;zPlOTnQ7x0IliIQMLZQxNpnWIS+JMYx9Q5K8i28ZY5JtoV2LXYJzrafGvGnGStJCiQ19lJRfz99s&#10;Id/uhQ96MzLH92jm3Z1HswNb+zzsNwtQkfr4H/5r75yF6WT2Cr9v0hP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4z3xQAAAN0AAAAPAAAAAAAAAAAAAAAAAJgCAABkcnMv&#10;ZG93bnJldi54bWxQSwUGAAAAAAQABAD1AAAAigMAAAAA&#10;" adj="0,,0" path="m,l5769864,r,9144l,9144,,e" fillcolor="black" stroked="f" strokeweight="0">
              <v:stroke miterlimit="83231f" joinstyle="miter"/>
              <v:formulas/>
              <v:path arrowok="t" o:connecttype="segments" textboxrect="0,0,5769864,9144"/>
            </v:shape>
            <w10:wrap type="none"/>
            <w10:anchorlock/>
          </v:group>
        </w:pict>
      </w:r>
    </w:p>
    <w:p w:rsidR="0037227C" w:rsidRPr="00D71AC9" w:rsidRDefault="0037227C" w:rsidP="0037227C">
      <w:pPr>
        <w:spacing w:after="240" w:line="260" w:lineRule="auto"/>
        <w:ind w:left="-5"/>
        <w:rPr>
          <w:rFonts w:cstheme="minorBidi"/>
          <w:szCs w:val="24"/>
          <w:lang w:val="pt-PT"/>
        </w:rPr>
      </w:pPr>
      <w:r w:rsidRPr="00D71AC9">
        <w:rPr>
          <w:rFonts w:cstheme="minorBidi"/>
          <w:szCs w:val="24"/>
          <w:lang w:val="pt-PT"/>
        </w:rPr>
        <w:t>A versão preliminar do Relatório Inicial da avaliação foi apresentada ao SCV no final de julho de 2014; no início de setembro, será apresentado um Relatório de Progresso Intercalar e, em dezembro de 2014, um Relatório Final.</w:t>
      </w:r>
      <w:r w:rsidR="00FB16E2" w:rsidRPr="00D71AC9">
        <w:rPr>
          <w:rFonts w:cstheme="minorBidi"/>
          <w:szCs w:val="24"/>
          <w:lang w:val="pt-PT"/>
        </w:rPr>
        <w:t xml:space="preserve"> </w:t>
      </w:r>
    </w:p>
    <w:p w:rsidR="0037227C" w:rsidRPr="00D71AC9" w:rsidRDefault="0037227C" w:rsidP="0037227C">
      <w:pPr>
        <w:spacing w:after="200" w:line="260" w:lineRule="auto"/>
        <w:ind w:left="-5"/>
        <w:rPr>
          <w:rFonts w:cstheme="minorBidi"/>
          <w:szCs w:val="24"/>
          <w:lang w:val="pt-PT"/>
        </w:rPr>
      </w:pPr>
      <w:r w:rsidRPr="00D71AC9">
        <w:rPr>
          <w:rFonts w:cstheme="minorBidi"/>
          <w:szCs w:val="24"/>
          <w:lang w:val="pt-PT"/>
        </w:rPr>
        <w:t>Durante os meses de setembro e outubro, a equipa de avaliação efetuará estudos de caso em oito países do SUN.</w:t>
      </w:r>
      <w:r w:rsidR="00FB16E2" w:rsidRPr="00D71AC9">
        <w:rPr>
          <w:rFonts w:cstheme="minorBidi"/>
          <w:szCs w:val="24"/>
          <w:lang w:val="pt-PT"/>
        </w:rPr>
        <w:t xml:space="preserve"> </w:t>
      </w:r>
      <w:r w:rsidRPr="00D71AC9">
        <w:rPr>
          <w:rFonts w:cstheme="minorBidi"/>
          <w:szCs w:val="24"/>
          <w:lang w:val="pt-PT"/>
        </w:rPr>
        <w:t xml:space="preserve">Tais estudos de caso são fulcrais: possibilitarão que a equipa adquira a noção da medida em que o SUN está a fazer a diferença ao nível nacional. Os países selecionados representam um amplo leque de nações em termos geográficos, linguísticos, de níveis de rendimento e de desafios nutricionais. Os estudos de caso analisarão o grau de adaptação do apoio do SUN às prioridades e </w:t>
      </w:r>
      <w:r w:rsidRPr="00D71AC9">
        <w:rPr>
          <w:rFonts w:cstheme="minorBidi"/>
          <w:szCs w:val="24"/>
          <w:lang w:val="pt-PT"/>
        </w:rPr>
        <w:lastRenderedPageBreak/>
        <w:t xml:space="preserve">limitações nutricionais específicas de cada país e a influência dos diferentes contextos no desempenho do SUN. </w:t>
      </w:r>
    </w:p>
    <w:p w:rsidR="0037227C" w:rsidRPr="00D71AC9" w:rsidRDefault="0037227C" w:rsidP="0037227C">
      <w:pPr>
        <w:spacing w:after="240" w:line="260" w:lineRule="auto"/>
        <w:ind w:left="-5"/>
        <w:rPr>
          <w:rFonts w:cstheme="minorBidi"/>
          <w:szCs w:val="24"/>
          <w:lang w:val="pt-PT"/>
        </w:rPr>
      </w:pPr>
      <w:r w:rsidRPr="00D71AC9">
        <w:rPr>
          <w:rFonts w:cstheme="minorBidi"/>
          <w:szCs w:val="24"/>
          <w:lang w:val="pt-PT"/>
        </w:rPr>
        <w:t>A equipa de avaliação consultará o mais vasto conjunto possível de atores do SUN.</w:t>
      </w:r>
      <w:r w:rsidR="00FB16E2" w:rsidRPr="00D71AC9">
        <w:rPr>
          <w:rFonts w:cstheme="minorBidi"/>
          <w:szCs w:val="24"/>
          <w:lang w:val="pt-PT"/>
        </w:rPr>
        <w:t xml:space="preserve"> </w:t>
      </w:r>
      <w:r w:rsidRPr="00D71AC9">
        <w:rPr>
          <w:rFonts w:cstheme="minorBidi"/>
          <w:szCs w:val="24"/>
          <w:lang w:val="pt-PT"/>
        </w:rPr>
        <w:t xml:space="preserve">Estão disponíveis TdR completos no sítio web do SUN, no qual serão também publicados os relatórios intercalar e final da avaliação. </w:t>
      </w:r>
    </w:p>
    <w:p w:rsidR="0037227C" w:rsidRPr="00D71AC9" w:rsidRDefault="0037227C" w:rsidP="0037227C">
      <w:pPr>
        <w:pStyle w:val="Heading2"/>
        <w:spacing w:after="140" w:line="260" w:lineRule="auto"/>
        <w:ind w:left="-5"/>
        <w:rPr>
          <w:rFonts w:cstheme="minorBidi"/>
          <w:szCs w:val="24"/>
          <w:lang w:val="pt-PT"/>
        </w:rPr>
      </w:pPr>
      <w:r w:rsidRPr="00D71AC9">
        <w:rPr>
          <w:rFonts w:cstheme="minorBidi"/>
          <w:szCs w:val="24"/>
          <w:lang w:val="pt-PT"/>
        </w:rPr>
        <w:t xml:space="preserve">A Equipa de Avaliação </w:t>
      </w:r>
    </w:p>
    <w:p w:rsidR="00FB16E2" w:rsidRPr="00D71AC9" w:rsidRDefault="00FB16E2" w:rsidP="00FB16E2">
      <w:pPr>
        <w:spacing w:after="120" w:line="260" w:lineRule="auto"/>
        <w:ind w:left="-5"/>
        <w:rPr>
          <w:rFonts w:cstheme="minorBidi"/>
          <w:szCs w:val="24"/>
          <w:lang w:val="pt-PT"/>
        </w:rPr>
      </w:pPr>
      <w:r w:rsidRPr="00D71AC9">
        <w:rPr>
          <w:rFonts w:cstheme="minorBidi"/>
          <w:szCs w:val="24"/>
          <w:lang w:val="pt-PT"/>
        </w:rPr>
        <w:t xml:space="preserve">A equipa de avaliação é liderada por </w:t>
      </w:r>
      <w:r w:rsidRPr="00D71AC9">
        <w:rPr>
          <w:rFonts w:cstheme="minorBidi"/>
          <w:b/>
          <w:szCs w:val="24"/>
          <w:lang w:val="pt-PT"/>
        </w:rPr>
        <w:t>Stephen Lister</w:t>
      </w:r>
      <w:r w:rsidRPr="00D71AC9">
        <w:rPr>
          <w:rFonts w:cstheme="minorBidi"/>
          <w:szCs w:val="24"/>
          <w:lang w:val="pt-PT"/>
        </w:rPr>
        <w:t xml:space="preserve"> (que se centrará na metodologia da avaliação, na eficácia da ajuda e na rede de doadores). </w:t>
      </w:r>
      <w:r w:rsidRPr="00D71AC9">
        <w:rPr>
          <w:rFonts w:cstheme="minorBidi"/>
          <w:b/>
          <w:szCs w:val="24"/>
          <w:lang w:val="pt-PT"/>
        </w:rPr>
        <w:t xml:space="preserve">Stephanie Allan </w:t>
      </w:r>
      <w:r w:rsidRPr="00D71AC9">
        <w:rPr>
          <w:rFonts w:cstheme="minorBidi"/>
          <w:szCs w:val="24"/>
          <w:lang w:val="pt-PT"/>
        </w:rPr>
        <w:t xml:space="preserve">é a coordenadora de investigação, com apoio adicional à investigação de </w:t>
      </w:r>
      <w:r w:rsidRPr="00D71AC9">
        <w:rPr>
          <w:rFonts w:cstheme="minorBidi"/>
          <w:b/>
          <w:szCs w:val="24"/>
          <w:lang w:val="pt-PT"/>
        </w:rPr>
        <w:t xml:space="preserve">Zoe Driscoll </w:t>
      </w:r>
      <w:r w:rsidRPr="00D71AC9">
        <w:rPr>
          <w:rFonts w:cstheme="minorBidi"/>
          <w:szCs w:val="24"/>
          <w:lang w:val="pt-PT"/>
        </w:rPr>
        <w:t xml:space="preserve">e </w:t>
      </w:r>
      <w:r w:rsidRPr="00D71AC9">
        <w:rPr>
          <w:rFonts w:cstheme="minorBidi"/>
          <w:b/>
          <w:szCs w:val="24"/>
          <w:lang w:val="pt-PT"/>
        </w:rPr>
        <w:t xml:space="preserve">Lilli Loveday </w:t>
      </w:r>
      <w:r w:rsidRPr="00D71AC9">
        <w:rPr>
          <w:rFonts w:cstheme="minorBidi"/>
          <w:szCs w:val="24"/>
          <w:lang w:val="pt-PT"/>
        </w:rPr>
        <w:t xml:space="preserve">(que é também a diretora de projeto da Mokoro para a avaliação). Os avaliadores superiores e as respetivas áreas de incidência do trabalho são: </w:t>
      </w:r>
    </w:p>
    <w:p w:rsidR="000001F6" w:rsidRPr="00D71AC9" w:rsidRDefault="00FF3A5D" w:rsidP="001C0A87">
      <w:pPr>
        <w:pStyle w:val="Heading2"/>
        <w:tabs>
          <w:tab w:val="left" w:pos="567"/>
          <w:tab w:val="left" w:pos="4536"/>
        </w:tabs>
        <w:spacing w:after="120"/>
        <w:ind w:left="0" w:firstLine="0"/>
        <w:rPr>
          <w:rFonts w:cstheme="minorBidi"/>
          <w:sz w:val="22"/>
          <w:lang w:val="pt-PT"/>
        </w:rPr>
      </w:pPr>
      <w:r w:rsidRPr="00D71AC9">
        <w:rPr>
          <w:rFonts w:asciiTheme="minorHAnsi" w:hAnsiTheme="minorHAnsi" w:cstheme="minorBidi"/>
          <w:b w:val="0"/>
          <w:sz w:val="22"/>
          <w:szCs w:val="24"/>
          <w:lang w:val="pt-PT"/>
        </w:rPr>
        <w:tab/>
      </w:r>
      <w:r w:rsidRPr="00D71AC9">
        <w:rPr>
          <w:rFonts w:cstheme="minorBidi"/>
          <w:sz w:val="22"/>
          <w:lang w:val="pt-PT"/>
        </w:rPr>
        <w:t xml:space="preserve">Mirella Mokbel Genequand </w:t>
      </w:r>
      <w:r w:rsidRPr="00D71AC9">
        <w:rPr>
          <w:rFonts w:cstheme="minorBidi"/>
          <w:sz w:val="22"/>
          <w:lang w:val="pt-PT"/>
        </w:rPr>
        <w:tab/>
      </w:r>
      <w:r w:rsidRPr="00D71AC9">
        <w:rPr>
          <w:rFonts w:cstheme="minorBidi"/>
          <w:b w:val="0"/>
          <w:sz w:val="22"/>
          <w:lang w:val="pt-PT"/>
        </w:rPr>
        <w:t xml:space="preserve">Nutrição, rede da ONU </w:t>
      </w:r>
    </w:p>
    <w:tbl>
      <w:tblPr>
        <w:tblStyle w:val="TableGrid"/>
        <w:tblW w:w="9286" w:type="dxa"/>
        <w:tblInd w:w="0" w:type="dxa"/>
        <w:tblLook w:val="04A0" w:firstRow="1" w:lastRow="0" w:firstColumn="1" w:lastColumn="0" w:noHBand="0" w:noVBand="1"/>
      </w:tblPr>
      <w:tblGrid>
        <w:gridCol w:w="2942"/>
        <w:gridCol w:w="238"/>
        <w:gridCol w:w="6106"/>
      </w:tblGrid>
      <w:tr w:rsidR="000001F6" w:rsidRPr="00D71AC9">
        <w:trPr>
          <w:trHeight w:val="625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001F6" w:rsidRPr="00D71AC9" w:rsidRDefault="0037227C" w:rsidP="0037227C">
            <w:pPr>
              <w:spacing w:after="0" w:line="260" w:lineRule="auto"/>
              <w:ind w:left="533" w:firstLine="0"/>
              <w:rPr>
                <w:rFonts w:cstheme="minorBidi"/>
                <w:szCs w:val="24"/>
                <w:lang w:val="pt-PT"/>
              </w:rPr>
            </w:pPr>
            <w:r w:rsidRPr="00D71AC9">
              <w:rPr>
                <w:rFonts w:cstheme="minorBidi"/>
                <w:b/>
                <w:szCs w:val="24"/>
                <w:lang w:val="pt-PT"/>
              </w:rPr>
              <w:t xml:space="preserve">Alta Fölscher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001F6" w:rsidRPr="00D71AC9" w:rsidRDefault="000001F6">
            <w:pPr>
              <w:spacing w:after="160" w:line="259" w:lineRule="auto"/>
              <w:ind w:left="0" w:firstLine="0"/>
              <w:rPr>
                <w:lang w:val="pt-PT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0001F6" w:rsidRPr="00D71AC9" w:rsidRDefault="0037227C" w:rsidP="0037227C">
            <w:pPr>
              <w:spacing w:after="0" w:line="260" w:lineRule="auto"/>
              <w:ind w:left="1325" w:right="199" w:firstLine="0"/>
              <w:rPr>
                <w:rFonts w:cstheme="minorBidi"/>
                <w:szCs w:val="24"/>
                <w:lang w:val="pt-PT"/>
              </w:rPr>
            </w:pPr>
            <w:r w:rsidRPr="00D71AC9">
              <w:rPr>
                <w:rFonts w:cstheme="minorBidi"/>
                <w:szCs w:val="24"/>
                <w:lang w:val="pt-PT"/>
              </w:rPr>
              <w:t xml:space="preserve">Fluxos da ajuda, acompanhamento financeiro, utilização dos sistemas nacionais </w:t>
            </w:r>
          </w:p>
        </w:tc>
      </w:tr>
      <w:tr w:rsidR="000001F6" w:rsidRPr="00D71AC9">
        <w:trPr>
          <w:trHeight w:val="313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001F6" w:rsidRPr="00D71AC9" w:rsidRDefault="0037227C" w:rsidP="001C0A87">
            <w:pPr>
              <w:spacing w:after="0" w:line="260" w:lineRule="auto"/>
              <w:ind w:left="533" w:firstLine="0"/>
              <w:rPr>
                <w:rFonts w:cstheme="minorBidi"/>
                <w:szCs w:val="24"/>
                <w:lang w:val="pt-PT"/>
              </w:rPr>
            </w:pPr>
            <w:r w:rsidRPr="00D71AC9">
              <w:rPr>
                <w:rFonts w:cstheme="minorBidi"/>
                <w:b/>
                <w:szCs w:val="24"/>
                <w:lang w:val="pt-PT"/>
              </w:rPr>
              <w:t>Chris Leather</w:t>
            </w:r>
            <w:r w:rsidR="00FB16E2" w:rsidRPr="00D71AC9">
              <w:rPr>
                <w:rFonts w:cstheme="minorBidi"/>
                <w:b/>
                <w:szCs w:val="24"/>
                <w:lang w:val="pt-PT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001F6" w:rsidRPr="00D71AC9" w:rsidRDefault="000001F6">
            <w:pPr>
              <w:spacing w:after="160" w:line="259" w:lineRule="auto"/>
              <w:ind w:left="0" w:firstLine="0"/>
              <w:rPr>
                <w:lang w:val="pt-PT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0001F6" w:rsidRPr="00D71AC9" w:rsidRDefault="0037227C" w:rsidP="0037227C">
            <w:pPr>
              <w:spacing w:after="0" w:line="260" w:lineRule="auto"/>
              <w:ind w:left="1325" w:firstLine="0"/>
              <w:rPr>
                <w:rFonts w:cstheme="minorBidi"/>
                <w:szCs w:val="24"/>
                <w:lang w:val="pt-PT"/>
              </w:rPr>
            </w:pPr>
            <w:r w:rsidRPr="00D71AC9">
              <w:rPr>
                <w:rFonts w:cstheme="minorBidi"/>
                <w:szCs w:val="24"/>
                <w:lang w:val="pt-PT"/>
              </w:rPr>
              <w:t xml:space="preserve">Rede de OSC, segurança alimentar </w:t>
            </w:r>
          </w:p>
        </w:tc>
      </w:tr>
      <w:tr w:rsidR="000001F6" w:rsidRPr="00D71AC9">
        <w:trPr>
          <w:trHeight w:val="628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001F6" w:rsidRPr="00D71AC9" w:rsidRDefault="0037227C" w:rsidP="0037227C">
            <w:pPr>
              <w:spacing w:after="0" w:line="260" w:lineRule="auto"/>
              <w:ind w:left="533" w:firstLine="0"/>
              <w:rPr>
                <w:rFonts w:cstheme="minorBidi"/>
                <w:szCs w:val="24"/>
                <w:lang w:val="pt-PT"/>
              </w:rPr>
            </w:pPr>
            <w:r w:rsidRPr="00D71AC9">
              <w:rPr>
                <w:rFonts w:cstheme="minorBidi"/>
                <w:b/>
                <w:szCs w:val="24"/>
                <w:lang w:val="pt-PT"/>
              </w:rPr>
              <w:t xml:space="preserve">Robrecht Renard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001F6" w:rsidRPr="00D71AC9" w:rsidRDefault="000001F6">
            <w:pPr>
              <w:spacing w:after="160" w:line="259" w:lineRule="auto"/>
              <w:ind w:left="0" w:firstLine="0"/>
              <w:rPr>
                <w:lang w:val="pt-PT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0001F6" w:rsidRPr="00D71AC9" w:rsidRDefault="0037227C" w:rsidP="0037227C">
            <w:pPr>
              <w:spacing w:after="0" w:line="260" w:lineRule="auto"/>
              <w:ind w:left="1325" w:right="213" w:firstLine="0"/>
              <w:rPr>
                <w:rFonts w:cstheme="minorBidi"/>
                <w:szCs w:val="24"/>
                <w:lang w:val="pt-PT"/>
              </w:rPr>
            </w:pPr>
            <w:r w:rsidRPr="00D71AC9">
              <w:rPr>
                <w:rFonts w:cstheme="minorBidi"/>
                <w:szCs w:val="24"/>
                <w:lang w:val="pt-PT"/>
              </w:rPr>
              <w:t xml:space="preserve">Economia, eficiência, análise custo-benefício </w:t>
            </w:r>
          </w:p>
        </w:tc>
      </w:tr>
      <w:tr w:rsidR="000001F6" w:rsidRPr="00D71AC9">
        <w:trPr>
          <w:trHeight w:val="628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001F6" w:rsidRPr="00D71AC9" w:rsidRDefault="0037227C" w:rsidP="001C0A87">
            <w:pPr>
              <w:spacing w:after="0" w:line="260" w:lineRule="auto"/>
              <w:ind w:left="533" w:firstLine="0"/>
              <w:rPr>
                <w:rFonts w:cstheme="minorBidi"/>
                <w:szCs w:val="24"/>
                <w:lang w:val="pt-PT"/>
              </w:rPr>
            </w:pPr>
            <w:r w:rsidRPr="00D71AC9">
              <w:rPr>
                <w:rFonts w:cstheme="minorBidi"/>
                <w:b/>
                <w:szCs w:val="24"/>
                <w:lang w:val="pt-PT"/>
              </w:rPr>
              <w:t xml:space="preserve">Stephen Turner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001F6" w:rsidRPr="00D71AC9" w:rsidRDefault="000001F6">
            <w:pPr>
              <w:spacing w:after="160" w:line="259" w:lineRule="auto"/>
              <w:ind w:left="0" w:firstLine="0"/>
              <w:rPr>
                <w:lang w:val="pt-PT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0001F6" w:rsidRPr="00D71AC9" w:rsidRDefault="0037227C" w:rsidP="0037227C">
            <w:pPr>
              <w:spacing w:after="0" w:line="260" w:lineRule="auto"/>
              <w:ind w:left="1325" w:right="501" w:firstLine="0"/>
              <w:rPr>
                <w:rFonts w:cstheme="minorBidi"/>
                <w:szCs w:val="24"/>
                <w:lang w:val="pt-PT"/>
              </w:rPr>
            </w:pPr>
            <w:r w:rsidRPr="00D71AC9">
              <w:rPr>
                <w:rFonts w:cstheme="minorBidi"/>
                <w:szCs w:val="24"/>
                <w:lang w:val="pt-PT"/>
              </w:rPr>
              <w:t xml:space="preserve">Rede de empresas do SUN, proteção social </w:t>
            </w:r>
          </w:p>
        </w:tc>
      </w:tr>
      <w:tr w:rsidR="000001F6" w:rsidRPr="00D71AC9">
        <w:trPr>
          <w:trHeight w:val="931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37227C" w:rsidRPr="00D71AC9" w:rsidRDefault="0037227C" w:rsidP="001C0A87">
            <w:pPr>
              <w:spacing w:after="0" w:line="260" w:lineRule="auto"/>
              <w:ind w:left="533" w:firstLine="0"/>
              <w:rPr>
                <w:rFonts w:cstheme="minorBidi"/>
                <w:szCs w:val="24"/>
                <w:lang w:val="pt-PT"/>
              </w:rPr>
            </w:pPr>
            <w:r w:rsidRPr="00D71AC9">
              <w:rPr>
                <w:rFonts w:cstheme="minorBidi"/>
                <w:b/>
                <w:szCs w:val="24"/>
                <w:lang w:val="pt-PT"/>
              </w:rPr>
              <w:t>Muriel Visser</w:t>
            </w:r>
            <w:r w:rsidR="00FB16E2" w:rsidRPr="00D71AC9">
              <w:rPr>
                <w:rFonts w:cstheme="minorBidi"/>
                <w:b/>
                <w:szCs w:val="24"/>
                <w:lang w:val="pt-PT"/>
              </w:rPr>
              <w:t xml:space="preserve"> </w:t>
            </w:r>
          </w:p>
          <w:p w:rsidR="001C0A87" w:rsidRPr="00D71AC9" w:rsidRDefault="001C0A87" w:rsidP="0037227C">
            <w:pPr>
              <w:spacing w:after="0" w:line="260" w:lineRule="auto"/>
              <w:ind w:left="0" w:firstLine="0"/>
              <w:rPr>
                <w:rFonts w:cstheme="minorBidi"/>
                <w:b/>
                <w:szCs w:val="24"/>
                <w:lang w:val="pt-PT"/>
              </w:rPr>
            </w:pPr>
          </w:p>
          <w:p w:rsidR="000001F6" w:rsidRPr="00D71AC9" w:rsidRDefault="0037227C" w:rsidP="0037227C">
            <w:pPr>
              <w:spacing w:after="0" w:line="260" w:lineRule="auto"/>
              <w:ind w:left="0" w:firstLine="0"/>
              <w:rPr>
                <w:rFonts w:cstheme="minorBidi"/>
                <w:szCs w:val="24"/>
                <w:lang w:val="pt-PT"/>
              </w:rPr>
            </w:pPr>
            <w:r w:rsidRPr="00D71AC9">
              <w:rPr>
                <w:rFonts w:cstheme="minorBidi"/>
                <w:b/>
                <w:szCs w:val="24"/>
                <w:lang w:val="pt-PT"/>
              </w:rPr>
              <w:t>Dados de contacto</w:t>
            </w:r>
            <w:r w:rsidR="00FB16E2" w:rsidRPr="00D71AC9">
              <w:rPr>
                <w:rFonts w:cstheme="minorBidi"/>
                <w:b/>
                <w:szCs w:val="24"/>
                <w:lang w:val="pt-PT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001F6" w:rsidRPr="00D71AC9" w:rsidRDefault="000001F6">
            <w:pPr>
              <w:spacing w:after="160" w:line="259" w:lineRule="auto"/>
              <w:ind w:left="0" w:firstLine="0"/>
              <w:rPr>
                <w:lang w:val="pt-PT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0001F6" w:rsidRPr="00D71AC9" w:rsidRDefault="0037227C" w:rsidP="0037227C">
            <w:pPr>
              <w:spacing w:after="0" w:line="260" w:lineRule="auto"/>
              <w:ind w:left="1325" w:firstLine="0"/>
              <w:rPr>
                <w:rFonts w:cstheme="minorBidi"/>
                <w:szCs w:val="24"/>
                <w:lang w:val="pt-PT"/>
              </w:rPr>
            </w:pPr>
            <w:r w:rsidRPr="00D71AC9">
              <w:rPr>
                <w:rFonts w:cstheme="minorBidi"/>
                <w:szCs w:val="24"/>
                <w:lang w:val="pt-PT"/>
              </w:rPr>
              <w:t xml:space="preserve">Administração, género </w:t>
            </w:r>
          </w:p>
        </w:tc>
      </w:tr>
      <w:tr w:rsidR="000001F6" w:rsidRPr="00D71AC9">
        <w:trPr>
          <w:trHeight w:val="127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37227C" w:rsidRPr="00D71AC9" w:rsidRDefault="0037227C" w:rsidP="0037227C">
            <w:pPr>
              <w:spacing w:after="0" w:line="260" w:lineRule="auto"/>
              <w:ind w:left="108" w:firstLine="0"/>
              <w:rPr>
                <w:rFonts w:cstheme="minorBidi"/>
                <w:szCs w:val="24"/>
                <w:lang w:val="pt-PT"/>
              </w:rPr>
            </w:pPr>
            <w:r w:rsidRPr="00D71AC9">
              <w:rPr>
                <w:rFonts w:cstheme="minorBidi"/>
                <w:sz w:val="20"/>
                <w:szCs w:val="24"/>
                <w:lang w:val="pt-PT"/>
              </w:rPr>
              <w:t>Mokoro Ltd.</w:t>
            </w:r>
            <w:r w:rsidR="00FB16E2" w:rsidRPr="00D71AC9">
              <w:rPr>
                <w:rFonts w:cstheme="minorBidi"/>
                <w:sz w:val="20"/>
                <w:szCs w:val="24"/>
                <w:lang w:val="pt-PT"/>
              </w:rPr>
              <w:t xml:space="preserve"> </w:t>
            </w:r>
          </w:p>
          <w:p w:rsidR="0037227C" w:rsidRPr="00D71AC9" w:rsidRDefault="0037227C" w:rsidP="0037227C">
            <w:pPr>
              <w:spacing w:after="0" w:line="260" w:lineRule="auto"/>
              <w:ind w:left="108" w:firstLine="0"/>
              <w:rPr>
                <w:rFonts w:cstheme="minorBidi"/>
                <w:szCs w:val="24"/>
                <w:lang w:val="pt-PT"/>
              </w:rPr>
            </w:pPr>
            <w:r w:rsidRPr="00D71AC9">
              <w:rPr>
                <w:rFonts w:cstheme="minorBidi"/>
                <w:sz w:val="20"/>
                <w:szCs w:val="24"/>
                <w:lang w:val="pt-PT"/>
              </w:rPr>
              <w:t>The Old Music Hall,</w:t>
            </w:r>
            <w:r w:rsidR="00FB16E2" w:rsidRPr="00D71AC9">
              <w:rPr>
                <w:rFonts w:cstheme="minorBidi"/>
                <w:sz w:val="20"/>
                <w:szCs w:val="24"/>
                <w:lang w:val="pt-PT"/>
              </w:rPr>
              <w:t xml:space="preserve"> </w:t>
            </w:r>
          </w:p>
          <w:p w:rsidR="0037227C" w:rsidRPr="00D71AC9" w:rsidRDefault="0037227C" w:rsidP="0037227C">
            <w:pPr>
              <w:spacing w:after="0" w:line="260" w:lineRule="auto"/>
              <w:ind w:left="108" w:firstLine="0"/>
              <w:rPr>
                <w:rFonts w:cstheme="minorBidi"/>
                <w:szCs w:val="24"/>
                <w:lang w:val="pt-PT"/>
              </w:rPr>
            </w:pPr>
            <w:r w:rsidRPr="00D71AC9">
              <w:rPr>
                <w:rFonts w:cstheme="minorBidi"/>
                <w:sz w:val="20"/>
                <w:szCs w:val="24"/>
                <w:lang w:val="pt-PT"/>
              </w:rPr>
              <w:t>106-108 Cowley Road,</w:t>
            </w:r>
            <w:r w:rsidR="00FB16E2" w:rsidRPr="00D71AC9">
              <w:rPr>
                <w:rFonts w:cstheme="minorBidi"/>
                <w:sz w:val="20"/>
                <w:szCs w:val="24"/>
                <w:lang w:val="pt-PT"/>
              </w:rPr>
              <w:t xml:space="preserve"> </w:t>
            </w:r>
          </w:p>
          <w:p w:rsidR="0037227C" w:rsidRPr="00D71AC9" w:rsidRDefault="0037227C" w:rsidP="0037227C">
            <w:pPr>
              <w:spacing w:after="0" w:line="260" w:lineRule="auto"/>
              <w:ind w:left="108" w:firstLine="0"/>
              <w:rPr>
                <w:rFonts w:cstheme="minorBidi"/>
                <w:szCs w:val="24"/>
                <w:lang w:val="pt-PT"/>
              </w:rPr>
            </w:pPr>
            <w:r w:rsidRPr="00D71AC9">
              <w:rPr>
                <w:rFonts w:cstheme="minorBidi"/>
                <w:sz w:val="20"/>
                <w:szCs w:val="24"/>
                <w:lang w:val="pt-PT"/>
              </w:rPr>
              <w:t xml:space="preserve">Oxford, OX4 1JE </w:t>
            </w:r>
          </w:p>
          <w:p w:rsidR="000001F6" w:rsidRPr="00D71AC9" w:rsidRDefault="0037227C" w:rsidP="0037227C">
            <w:pPr>
              <w:spacing w:after="0" w:line="260" w:lineRule="auto"/>
              <w:ind w:left="108" w:firstLine="0"/>
              <w:rPr>
                <w:rFonts w:cstheme="minorBidi"/>
                <w:szCs w:val="24"/>
                <w:lang w:val="pt-PT"/>
              </w:rPr>
            </w:pPr>
            <w:r w:rsidRPr="00D71AC9">
              <w:rPr>
                <w:rFonts w:cstheme="minorBidi"/>
                <w:sz w:val="20"/>
                <w:szCs w:val="24"/>
                <w:lang w:val="pt-PT"/>
              </w:rPr>
              <w:t xml:space="preserve">Reino Unido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001F6" w:rsidRPr="00D71AC9" w:rsidRDefault="00211D33">
            <w:pPr>
              <w:spacing w:after="0" w:line="259" w:lineRule="auto"/>
              <w:ind w:left="0" w:firstLine="0"/>
              <w:rPr>
                <w:lang w:val="pt-PT"/>
              </w:rPr>
            </w:pPr>
            <w:r w:rsidRPr="00D71AC9">
              <w:rPr>
                <w:sz w:val="10"/>
                <w:lang w:val="pt-PT"/>
              </w:rPr>
              <w:t xml:space="preserve"> 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37227C" w:rsidRPr="00D71AC9" w:rsidRDefault="0037227C" w:rsidP="0037227C">
            <w:pPr>
              <w:tabs>
                <w:tab w:val="center" w:pos="4842"/>
              </w:tabs>
              <w:spacing w:after="160" w:line="260" w:lineRule="auto"/>
              <w:ind w:left="0" w:firstLine="0"/>
              <w:rPr>
                <w:rFonts w:cstheme="minorBidi"/>
                <w:szCs w:val="24"/>
                <w:lang w:val="pt-PT"/>
              </w:rPr>
            </w:pPr>
            <w:r w:rsidRPr="00D71AC9">
              <w:rPr>
                <w:rFonts w:cstheme="minorBidi"/>
                <w:sz w:val="20"/>
                <w:szCs w:val="24"/>
                <w:lang w:val="pt-PT"/>
              </w:rPr>
              <w:t xml:space="preserve">Stephen Lister (líder de equipa) </w:t>
            </w:r>
            <w:r w:rsidRPr="00D71AC9">
              <w:rPr>
                <w:rFonts w:cstheme="minorBidi"/>
                <w:sz w:val="20"/>
                <w:szCs w:val="24"/>
                <w:lang w:val="pt-PT"/>
              </w:rPr>
              <w:tab/>
            </w:r>
            <w:r w:rsidRPr="00D71AC9">
              <w:rPr>
                <w:rFonts w:cstheme="minorBidi"/>
                <w:color w:val="0000FF"/>
                <w:sz w:val="20"/>
                <w:szCs w:val="24"/>
                <w:u w:val="single" w:color="0000FF"/>
                <w:lang w:val="pt-PT"/>
              </w:rPr>
              <w:t>slister@mokoro.co.uk</w:t>
            </w:r>
            <w:r w:rsidR="00FB16E2" w:rsidRPr="00D71AC9">
              <w:rPr>
                <w:rFonts w:cstheme="minorBidi"/>
                <w:sz w:val="20"/>
                <w:szCs w:val="24"/>
                <w:lang w:val="pt-PT"/>
              </w:rPr>
              <w:t xml:space="preserve"> </w:t>
            </w:r>
          </w:p>
          <w:p w:rsidR="0037227C" w:rsidRPr="00D71AC9" w:rsidRDefault="0037227C" w:rsidP="0037227C">
            <w:pPr>
              <w:tabs>
                <w:tab w:val="center" w:pos="4835"/>
              </w:tabs>
              <w:spacing w:after="160" w:line="260" w:lineRule="auto"/>
              <w:ind w:left="0" w:firstLine="0"/>
              <w:rPr>
                <w:rFonts w:cstheme="minorBidi"/>
                <w:szCs w:val="24"/>
                <w:lang w:val="pt-PT"/>
              </w:rPr>
            </w:pPr>
            <w:r w:rsidRPr="00D71AC9">
              <w:rPr>
                <w:rFonts w:cstheme="minorBidi"/>
                <w:sz w:val="20"/>
                <w:szCs w:val="24"/>
                <w:lang w:val="pt-PT"/>
              </w:rPr>
              <w:t xml:space="preserve">Stephanie Allan (coordenadora de investigação) </w:t>
            </w:r>
            <w:r w:rsidRPr="00D71AC9">
              <w:rPr>
                <w:rFonts w:cstheme="minorBidi"/>
                <w:sz w:val="20"/>
                <w:szCs w:val="24"/>
                <w:lang w:val="pt-PT"/>
              </w:rPr>
              <w:tab/>
            </w:r>
            <w:r w:rsidRPr="00D71AC9">
              <w:rPr>
                <w:rFonts w:cstheme="minorBidi"/>
                <w:color w:val="0000FF"/>
                <w:sz w:val="20"/>
                <w:szCs w:val="24"/>
                <w:u w:val="single" w:color="0000FF"/>
                <w:lang w:val="pt-PT"/>
              </w:rPr>
              <w:t>sallan@mokoro.co.uk</w:t>
            </w:r>
            <w:r w:rsidR="00FB16E2" w:rsidRPr="00D71AC9">
              <w:rPr>
                <w:rFonts w:cstheme="minorBidi"/>
                <w:sz w:val="20"/>
                <w:szCs w:val="24"/>
                <w:lang w:val="pt-PT"/>
              </w:rPr>
              <w:t xml:space="preserve"> </w:t>
            </w:r>
          </w:p>
          <w:p w:rsidR="000001F6" w:rsidRPr="00D71AC9" w:rsidRDefault="0037227C" w:rsidP="0037227C">
            <w:pPr>
              <w:tabs>
                <w:tab w:val="right" w:pos="6106"/>
              </w:tabs>
              <w:spacing w:after="0" w:line="260" w:lineRule="auto"/>
              <w:ind w:left="0" w:firstLine="0"/>
              <w:rPr>
                <w:rFonts w:cstheme="minorBidi"/>
                <w:szCs w:val="24"/>
                <w:lang w:val="pt-PT"/>
              </w:rPr>
            </w:pPr>
            <w:r w:rsidRPr="00D71AC9">
              <w:rPr>
                <w:rFonts w:cstheme="minorBidi"/>
                <w:sz w:val="20"/>
                <w:szCs w:val="24"/>
                <w:lang w:val="pt-PT"/>
              </w:rPr>
              <w:t xml:space="preserve">Lilli Loveday (diretora de projeto) </w:t>
            </w:r>
            <w:r w:rsidRPr="00D71AC9">
              <w:rPr>
                <w:rFonts w:cstheme="minorBidi"/>
                <w:sz w:val="20"/>
                <w:szCs w:val="24"/>
                <w:lang w:val="pt-PT"/>
              </w:rPr>
              <w:tab/>
            </w:r>
            <w:r w:rsidRPr="00D71AC9">
              <w:rPr>
                <w:rFonts w:cstheme="minorBidi"/>
                <w:color w:val="0000FF"/>
                <w:sz w:val="20"/>
                <w:szCs w:val="24"/>
                <w:u w:val="single" w:color="0000FF"/>
                <w:lang w:val="pt-PT"/>
              </w:rPr>
              <w:t>lloveday@mokoro.co.uk</w:t>
            </w:r>
            <w:r w:rsidR="00FB16E2" w:rsidRPr="00D71AC9">
              <w:rPr>
                <w:rFonts w:cstheme="minorBidi"/>
                <w:sz w:val="20"/>
                <w:szCs w:val="24"/>
                <w:lang w:val="pt-PT"/>
              </w:rPr>
              <w:t xml:space="preserve"> </w:t>
            </w:r>
          </w:p>
        </w:tc>
      </w:tr>
      <w:tr w:rsidR="000001F6" w:rsidRPr="00D71AC9">
        <w:trPr>
          <w:trHeight w:val="282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001F6" w:rsidRPr="00D71AC9" w:rsidRDefault="0037227C" w:rsidP="0037227C">
            <w:pPr>
              <w:spacing w:after="0" w:line="260" w:lineRule="auto"/>
              <w:ind w:left="108" w:firstLine="0"/>
              <w:rPr>
                <w:rFonts w:cstheme="minorBidi"/>
                <w:szCs w:val="24"/>
                <w:lang w:val="pt-PT"/>
              </w:rPr>
            </w:pPr>
            <w:r w:rsidRPr="00D71AC9">
              <w:rPr>
                <w:rFonts w:cstheme="minorBidi"/>
                <w:sz w:val="20"/>
                <w:szCs w:val="24"/>
                <w:lang w:val="pt-PT"/>
              </w:rPr>
              <w:t xml:space="preserve">Telefone: + 44 (0) 1865 403179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001F6" w:rsidRPr="00D71AC9" w:rsidRDefault="00211D33">
            <w:pPr>
              <w:spacing w:after="0" w:line="259" w:lineRule="auto"/>
              <w:ind w:left="0" w:firstLine="0"/>
              <w:rPr>
                <w:lang w:val="pt-PT"/>
              </w:rPr>
            </w:pPr>
            <w:r w:rsidRPr="00D71AC9">
              <w:rPr>
                <w:sz w:val="10"/>
                <w:lang w:val="pt-PT"/>
              </w:rPr>
              <w:t xml:space="preserve"> 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0001F6" w:rsidRPr="00D71AC9" w:rsidRDefault="00211D33">
            <w:pPr>
              <w:spacing w:after="0" w:line="259" w:lineRule="auto"/>
              <w:ind w:left="0" w:firstLine="0"/>
              <w:rPr>
                <w:lang w:val="pt-PT"/>
              </w:rPr>
            </w:pPr>
            <w:r w:rsidRPr="00D71AC9">
              <w:rPr>
                <w:sz w:val="20"/>
                <w:lang w:val="pt-PT"/>
              </w:rPr>
              <w:t xml:space="preserve"> </w:t>
            </w:r>
            <w:r w:rsidRPr="00D71AC9">
              <w:rPr>
                <w:sz w:val="20"/>
                <w:lang w:val="pt-PT"/>
              </w:rPr>
              <w:tab/>
              <w:t xml:space="preserve"> </w:t>
            </w:r>
          </w:p>
        </w:tc>
      </w:tr>
      <w:tr w:rsidR="000001F6" w:rsidRPr="00D71AC9">
        <w:trPr>
          <w:trHeight w:val="239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001F6" w:rsidRPr="00D71AC9" w:rsidRDefault="0037227C" w:rsidP="0037227C">
            <w:pPr>
              <w:spacing w:after="0" w:line="260" w:lineRule="auto"/>
              <w:ind w:left="108" w:firstLine="0"/>
              <w:rPr>
                <w:rFonts w:cstheme="minorBidi"/>
                <w:szCs w:val="24"/>
                <w:lang w:val="pt-PT"/>
              </w:rPr>
            </w:pPr>
            <w:r w:rsidRPr="00D71AC9">
              <w:rPr>
                <w:rFonts w:cstheme="minorBidi"/>
                <w:sz w:val="20"/>
                <w:szCs w:val="24"/>
                <w:lang w:val="pt-PT"/>
              </w:rPr>
              <w:t>Fax:</w:t>
            </w:r>
            <w:r w:rsidR="00FB16E2" w:rsidRPr="00D71AC9">
              <w:rPr>
                <w:rFonts w:cstheme="minorBidi"/>
                <w:sz w:val="20"/>
                <w:szCs w:val="24"/>
                <w:lang w:val="pt-PT"/>
              </w:rPr>
              <w:t xml:space="preserve"> </w:t>
            </w:r>
            <w:r w:rsidRPr="00D71AC9">
              <w:rPr>
                <w:rFonts w:cstheme="minorBidi"/>
                <w:sz w:val="20"/>
                <w:szCs w:val="24"/>
                <w:lang w:val="pt-PT"/>
              </w:rPr>
              <w:t xml:space="preserve">+ 44 (0) 1865 403279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001F6" w:rsidRPr="00D71AC9" w:rsidRDefault="00211D33">
            <w:pPr>
              <w:spacing w:after="0" w:line="259" w:lineRule="auto"/>
              <w:ind w:left="0" w:firstLine="0"/>
              <w:rPr>
                <w:lang w:val="pt-PT"/>
              </w:rPr>
            </w:pPr>
            <w:r w:rsidRPr="00D71AC9">
              <w:rPr>
                <w:sz w:val="10"/>
                <w:lang w:val="pt-PT"/>
              </w:rPr>
              <w:t xml:space="preserve"> 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0001F6" w:rsidRPr="00D71AC9" w:rsidRDefault="00211D33">
            <w:pPr>
              <w:spacing w:after="0" w:line="259" w:lineRule="auto"/>
              <w:ind w:left="0" w:firstLine="0"/>
              <w:rPr>
                <w:lang w:val="pt-PT"/>
              </w:rPr>
            </w:pPr>
            <w:r w:rsidRPr="00D71AC9">
              <w:rPr>
                <w:sz w:val="20"/>
                <w:lang w:val="pt-PT"/>
              </w:rPr>
              <w:t xml:space="preserve"> </w:t>
            </w:r>
            <w:r w:rsidRPr="00D71AC9">
              <w:rPr>
                <w:sz w:val="20"/>
                <w:lang w:val="pt-PT"/>
              </w:rPr>
              <w:tab/>
              <w:t xml:space="preserve"> </w:t>
            </w:r>
          </w:p>
        </w:tc>
      </w:tr>
    </w:tbl>
    <w:p w:rsidR="000001F6" w:rsidRPr="00D71AC9" w:rsidRDefault="007A3E9D" w:rsidP="0037227C">
      <w:pPr>
        <w:spacing w:after="240" w:line="260" w:lineRule="auto"/>
        <w:ind w:left="680" w:firstLine="0"/>
        <w:rPr>
          <w:lang w:val="pt-PT"/>
        </w:rPr>
      </w:pPr>
      <w:r>
        <w:rPr>
          <w:rFonts w:ascii="Calibri" w:eastAsia="Calibri" w:hAnsi="Calibri" w:cs="Calibri"/>
          <w:sz w:val="22"/>
          <w:lang w:val="pt-PT"/>
        </w:rPr>
      </w:r>
      <w:r>
        <w:rPr>
          <w:rFonts w:ascii="Calibri" w:eastAsia="Calibri" w:hAnsi="Calibri" w:cs="Calibri"/>
          <w:sz w:val="22"/>
          <w:lang w:val="pt-PT"/>
        </w:rPr>
        <w:pict>
          <v:group id="Group 1879" o:spid="_x0000_s1032" style="width:380.5pt;height:59.6pt;mso-position-horizontal-relative:char;mso-position-vertical-relative:line" coordsize="48320,75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78" o:spid="_x0000_s1033" type="#_x0000_t75" style="position:absolute;top:31;width:9547;height:75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SbvfHAAAA3AAAAA8AAABkcnMvZG93bnJldi54bWxEj0FrwkAQhe9C/8Myhd50Uym1pq5SCqWV&#10;etAoiLdpdpoNzc6m2a3Gf+8chN5meG/e+2a26H2jjtTFOrCB+1EGirgMtubKwG77NnwCFROyxSYw&#10;GThThMX8ZjDD3IYTb+hYpEpJCMccDbiU2lzrWDryGEehJRbtO3Qek6xdpW2HJwn3jR5n2aP2WLM0&#10;OGzp1VH5U/x5A0v33nxN99uH8Xq1Wf8eirb4DEtj7m77l2dQifr0b75ef1jBnwitPCMT6Pk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ISbvfHAAAA3AAAAA8AAAAAAAAAAAAA&#10;AAAAnwIAAGRycy9kb3ducmV2LnhtbFBLBQYAAAAABAAEAPcAAACTAwAAAAA=&#10;">
              <v:imagedata r:id="rId5" o:title=""/>
            </v:shape>
            <v:shape id="Picture 180" o:spid="_x0000_s1028" type="#_x0000_t75" style="position:absolute;left:20619;width:7460;height:56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qmmTCAAAA3AAAAA8AAABkcnMvZG93bnJldi54bWxEj01rwzAMhu+F/QejQW+tszFKyeqWMTrY&#10;dW0P7U3EcmIWyyH2knS/vjoUepPQ+/Fos5tCqwbqk49s4GVZgCKuovVcGzgdvxZrUCkjW2wjk4Er&#10;Jdhtn2YbLG0c+YeGQ66VhHAq0UCTc1dqnaqGAqZl7Ijl5mIfMMva19r2OEp4aPVrUax0QM/S0GBH&#10;nw1Vv4e/IL3j/rxyY0f67X9/PXrnLoN3xsyfp493UJmm/BDf3d9W8NeCL8/IBHp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6ppkwgAAANwAAAAPAAAAAAAAAAAAAAAAAJ8C&#10;AABkcnMvZG93bnJldi54bWxQSwUGAAAAAAQABAD3AAAAjgMAAAAA&#10;">
              <v:imagedata r:id="rId6" o:title=""/>
            </v:shape>
            <v:shape id="Picture 182" o:spid="_x0000_s1029" type="#_x0000_t75" style="position:absolute;left:39623;width:8697;height:47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VrfLCAAAA3AAAAA8AAABkcnMvZG93bnJldi54bWxET0uLwjAQvgv+hzDC3jT1sSrVKOqy4GUP&#10;Vg8eh2Zsi82kNtF2/fWbBcHbfHzPWa5bU4oH1a6wrGA4iEAQp1YXnCk4Hb/7cxDOI2ssLZOCX3Kw&#10;XnU7S4y1bfhAj8RnIoSwi1FB7n0VS+nSnAy6ga2IA3extUEfYJ1JXWMTwk0pR1E0lQYLDg05VrTL&#10;Kb0md6OgLXG7n/7I5Gmbw+e4mJ2/bqeJUh+9drMA4an1b/HLvddh/nwE/8+EC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1a3ywgAAANwAAAAPAAAAAAAAAAAAAAAAAJ8C&#10;AABkcnMvZG93bnJldi54bWxQSwUGAAAAAAQABAD3AAAAjgMAAAAA&#10;">
              <v:imagedata r:id="rId7" o:title=""/>
            </v:shape>
            <w10:wrap type="none"/>
            <w10:anchorlock/>
          </v:group>
        </w:pict>
      </w:r>
    </w:p>
    <w:p w:rsidR="000001F6" w:rsidRPr="00D71AC9" w:rsidRDefault="00211D33">
      <w:pPr>
        <w:spacing w:after="0" w:line="259" w:lineRule="auto"/>
        <w:ind w:left="0" w:firstLine="0"/>
        <w:rPr>
          <w:lang w:val="pt-PT"/>
        </w:rPr>
      </w:pPr>
      <w:r w:rsidRPr="00D71AC9">
        <w:rPr>
          <w:b/>
          <w:sz w:val="18"/>
          <w:lang w:val="pt-PT"/>
        </w:rPr>
        <w:t xml:space="preserve"> </w:t>
      </w:r>
    </w:p>
    <w:p w:rsidR="000001F6" w:rsidRPr="00D71AC9" w:rsidRDefault="00211D33">
      <w:pPr>
        <w:spacing w:after="0" w:line="259" w:lineRule="auto"/>
        <w:ind w:left="0" w:firstLine="0"/>
        <w:rPr>
          <w:lang w:val="pt-PT"/>
        </w:rPr>
      </w:pPr>
      <w:r w:rsidRPr="00D71AC9">
        <w:rPr>
          <w:rFonts w:ascii="Arial" w:eastAsia="Arial" w:hAnsi="Arial" w:cs="Arial"/>
          <w:sz w:val="12"/>
          <w:lang w:val="pt-PT"/>
        </w:rPr>
        <w:t xml:space="preserve"> </w:t>
      </w:r>
    </w:p>
    <w:p w:rsidR="000001F6" w:rsidRPr="00D71AC9" w:rsidRDefault="007A3E9D" w:rsidP="0037227C">
      <w:pPr>
        <w:spacing w:after="220" w:line="260" w:lineRule="auto"/>
        <w:ind w:left="-29" w:right="-28" w:firstLine="0"/>
        <w:rPr>
          <w:lang w:val="pt-PT"/>
        </w:rPr>
      </w:pPr>
      <w:r>
        <w:rPr>
          <w:rFonts w:ascii="Calibri" w:eastAsia="Calibri" w:hAnsi="Calibri" w:cs="Calibri"/>
          <w:sz w:val="22"/>
          <w:lang w:val="pt-PT"/>
        </w:rPr>
      </w:r>
      <w:r>
        <w:rPr>
          <w:rFonts w:ascii="Calibri" w:eastAsia="Calibri" w:hAnsi="Calibri" w:cs="Calibri"/>
          <w:sz w:val="22"/>
          <w:lang w:val="pt-PT"/>
        </w:rPr>
        <w:pict>
          <v:group id="Group 1289" o:spid="_x0000_s1030" style="width:454.3pt;height:.5pt;mso-position-horizontal-relative:char;mso-position-vertical-relative:line" coordsize="57698,60">
            <v:shape id="Shape 2144" o:spid="_x0000_s1031" style="position:absolute;width:57698;height:91;visibility:visible" coordsize="576986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YUg8QA&#10;AADdAAAADwAAAGRycy9kb3ducmV2LnhtbESPUWvCQBCE34X+h2MLfZF6pwSR1FNsQbA+qe0PWHLb&#10;JDS7F3KnSfvrPUHwcZiZb5jleuBGXagLtRcL04kBRVJ4V0tp4ftr+7oAFSKKw8YLWfijAOvV02iJ&#10;ufO9HOlyiqVKEAk5WqhibHOtQ1ERY5j4liR5P75jjEl2pXYd9gnOjZ4ZM9eMtaSFClv6qKj4PZ3Z&#10;QrH9FN7rzdgc3qNZ9P88zvZs7cvzsHkDFWmIj/C9vXMWZtMsg9ub9AT0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mFIPEAAAA3QAAAA8AAAAAAAAAAAAAAAAAmAIAAGRycy9k&#10;b3ducmV2LnhtbFBLBQYAAAAABAAEAPUAAACJAwAAAAA=&#10;" adj="0,,0" path="m,l5769864,r,9144l,9144,,e" fillcolor="black" stroked="f" strokeweight="0">
              <v:stroke miterlimit="83231f" joinstyle="miter"/>
              <v:formulas/>
              <v:path arrowok="t" o:connecttype="segments" textboxrect="0,0,5769864,9144"/>
            </v:shape>
            <w10:wrap type="none"/>
            <w10:anchorlock/>
          </v:group>
        </w:pict>
      </w:r>
    </w:p>
    <w:p w:rsidR="0037227C" w:rsidRPr="00D71AC9" w:rsidRDefault="0037227C" w:rsidP="0037227C">
      <w:pPr>
        <w:tabs>
          <w:tab w:val="center" w:pos="5323"/>
          <w:tab w:val="right" w:pos="9030"/>
        </w:tabs>
        <w:spacing w:after="0" w:line="260" w:lineRule="auto"/>
        <w:ind w:left="-15" w:right="-15" w:firstLine="0"/>
        <w:rPr>
          <w:rFonts w:cstheme="minorBidi"/>
          <w:szCs w:val="24"/>
          <w:lang w:val="pt-PT"/>
        </w:rPr>
      </w:pPr>
      <w:r w:rsidRPr="00D71AC9">
        <w:rPr>
          <w:rFonts w:ascii="Arial" w:hAnsi="Arial" w:cstheme="minorBidi"/>
          <w:i/>
          <w:sz w:val="18"/>
          <w:szCs w:val="24"/>
          <w:lang w:val="pt-PT"/>
        </w:rPr>
        <w:t>Informação da AEI 2014-08-07</w:t>
      </w:r>
      <w:r w:rsidRPr="00D71AC9">
        <w:rPr>
          <w:rFonts w:ascii="Arial" w:hAnsi="Arial" w:cstheme="minorBidi"/>
          <w:i/>
          <w:szCs w:val="24"/>
          <w:lang w:val="pt-PT"/>
        </w:rPr>
        <w:t xml:space="preserve"> </w:t>
      </w:r>
      <w:r w:rsidRPr="00D71AC9">
        <w:rPr>
          <w:rFonts w:ascii="Arial" w:hAnsi="Arial" w:cstheme="minorBidi"/>
          <w:i/>
          <w:szCs w:val="24"/>
          <w:lang w:val="pt-PT"/>
        </w:rPr>
        <w:tab/>
      </w:r>
      <w:r w:rsidRPr="00D71AC9">
        <w:rPr>
          <w:rFonts w:ascii="Arial" w:hAnsi="Arial" w:cstheme="minorBidi"/>
          <w:szCs w:val="24"/>
          <w:lang w:val="pt-PT"/>
        </w:rPr>
        <w:t xml:space="preserve"> </w:t>
      </w:r>
      <w:r w:rsidRPr="00D71AC9">
        <w:rPr>
          <w:rFonts w:ascii="Arial" w:hAnsi="Arial" w:cstheme="minorBidi"/>
          <w:szCs w:val="24"/>
          <w:lang w:val="pt-PT"/>
        </w:rPr>
        <w:tab/>
        <w:t>(2)</w:t>
      </w:r>
      <w:r w:rsidRPr="00D71AC9">
        <w:rPr>
          <w:rFonts w:ascii="Arial" w:hAnsi="Arial" w:cstheme="minorBidi"/>
          <w:i/>
          <w:szCs w:val="24"/>
          <w:lang w:val="pt-PT"/>
        </w:rPr>
        <w:t xml:space="preserve"> </w:t>
      </w:r>
    </w:p>
    <w:p w:rsidR="000001F6" w:rsidRPr="00D71AC9" w:rsidRDefault="00211D33">
      <w:pPr>
        <w:spacing w:after="0" w:line="259" w:lineRule="auto"/>
        <w:ind w:left="0" w:firstLine="0"/>
        <w:rPr>
          <w:lang w:val="pt-PT"/>
        </w:rPr>
      </w:pPr>
      <w:r w:rsidRPr="00D71AC9">
        <w:rPr>
          <w:rFonts w:ascii="Arial" w:eastAsia="Arial" w:hAnsi="Arial" w:cs="Arial"/>
          <w:sz w:val="16"/>
          <w:lang w:val="pt-PT"/>
        </w:rPr>
        <w:t xml:space="preserve"> </w:t>
      </w:r>
    </w:p>
    <w:sectPr w:rsidR="000001F6" w:rsidRPr="00D71AC9" w:rsidSect="00353216">
      <w:pgSz w:w="11909" w:h="16834"/>
      <w:pgMar w:top="565" w:right="1439" w:bottom="7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01F6"/>
    <w:rsid w:val="000001F6"/>
    <w:rsid w:val="001C0A87"/>
    <w:rsid w:val="00211D33"/>
    <w:rsid w:val="00242199"/>
    <w:rsid w:val="0025708E"/>
    <w:rsid w:val="00353216"/>
    <w:rsid w:val="0037227C"/>
    <w:rsid w:val="00607CD0"/>
    <w:rsid w:val="006A4E0E"/>
    <w:rsid w:val="007A3E9D"/>
    <w:rsid w:val="00957E65"/>
    <w:rsid w:val="00AD20AD"/>
    <w:rsid w:val="00BA101A"/>
    <w:rsid w:val="00BF4CD2"/>
    <w:rsid w:val="00D71AC9"/>
    <w:rsid w:val="00DE34BD"/>
    <w:rsid w:val="00E05F9E"/>
    <w:rsid w:val="00FB16E2"/>
    <w:rsid w:val="00F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FDE1F512-B2E7-4C7B-88AE-77CAB2AC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216"/>
    <w:pPr>
      <w:spacing w:after="205" w:line="269" w:lineRule="auto"/>
      <w:ind w:left="10" w:hanging="10"/>
    </w:pPr>
    <w:rPr>
      <w:rFonts w:ascii="Georgia" w:eastAsia="Georgia" w:hAnsi="Georgia" w:cs="Georgi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353216"/>
    <w:pPr>
      <w:keepNext/>
      <w:keepLines/>
      <w:spacing w:after="0"/>
      <w:ind w:left="42"/>
      <w:outlineLvl w:val="0"/>
    </w:pPr>
    <w:rPr>
      <w:rFonts w:ascii="Georgia" w:eastAsia="Georgia" w:hAnsi="Georgia" w:cs="Georgia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353216"/>
    <w:pPr>
      <w:keepNext/>
      <w:keepLines/>
      <w:spacing w:after="138"/>
      <w:ind w:left="10" w:hanging="10"/>
      <w:outlineLvl w:val="1"/>
    </w:pPr>
    <w:rPr>
      <w:rFonts w:ascii="Georgia" w:eastAsia="Georgia" w:hAnsi="Georgia" w:cs="Georgi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53216"/>
    <w:rPr>
      <w:rFonts w:ascii="Georgia" w:eastAsia="Georgia" w:hAnsi="Georgia" w:cs="Georgia"/>
      <w:b/>
      <w:color w:val="000000"/>
      <w:sz w:val="24"/>
    </w:rPr>
  </w:style>
  <w:style w:type="character" w:customStyle="1" w:styleId="Heading1Char">
    <w:name w:val="Heading 1 Char"/>
    <w:link w:val="Heading1"/>
    <w:uiPriority w:val="9"/>
    <w:rsid w:val="00353216"/>
    <w:rPr>
      <w:rFonts w:ascii="Georgia" w:eastAsia="Georgia" w:hAnsi="Georgia" w:cs="Georgia"/>
      <w:b/>
      <w:color w:val="000000"/>
      <w:sz w:val="28"/>
    </w:rPr>
  </w:style>
  <w:style w:type="table" w:customStyle="1" w:styleId="TableGrid">
    <w:name w:val="TableGrid"/>
    <w:rsid w:val="0035321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w4winMark">
    <w:name w:val="tw4winMark"/>
    <w:uiPriority w:val="99"/>
    <w:rsid w:val="0037227C"/>
    <w:rPr>
      <w:rFonts w:ascii="Courier New" w:hAnsi="Courier New"/>
      <w:vanish/>
      <w:color w:val="800080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E65"/>
    <w:rPr>
      <w:rFonts w:ascii="Tahoma" w:eastAsia="Georgia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957E65"/>
    <w:pPr>
      <w:spacing w:after="0" w:line="240" w:lineRule="auto"/>
    </w:pPr>
    <w:rPr>
      <w:rFonts w:ascii="Georgia" w:eastAsia="Georgia" w:hAnsi="Georgia" w:cs="Georg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Fighting Hunger Worldwide</vt:lpstr>
      <vt:lpstr>Fighting Hunger Worldwide</vt:lpstr>
    </vt:vector>
  </TitlesOfParts>
  <Company>Microsoft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Fighting Hunger Worldwide</dc:title>
  <dc:subject/>
  <dc:creator>Stephen Lister</dc:creator>
  <cp:keywords/>
  <cp:lastModifiedBy>Mat Cousins</cp:lastModifiedBy>
  <cp:revision>2</cp:revision>
  <dcterms:created xsi:type="dcterms:W3CDTF">2014-09-11T12:26:00Z</dcterms:created>
  <dcterms:modified xsi:type="dcterms:W3CDTF">2014-09-11T12:26:00Z</dcterms:modified>
</cp:coreProperties>
</file>